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36E85" w14:textId="06970EC4" w:rsidR="009C2509" w:rsidRPr="00D712EF" w:rsidRDefault="006B40BA" w:rsidP="009C2509">
      <w:pPr>
        <w:pStyle w:val="tc2"/>
        <w:shd w:val="clear" w:color="auto" w:fill="FFFFFF"/>
        <w:rPr>
          <w:rFonts w:ascii="Century" w:hAnsi="Century" w:cs="Arial"/>
          <w:sz w:val="28"/>
          <w:szCs w:val="28"/>
          <w:lang w:val="uk-UA"/>
        </w:rPr>
      </w:pPr>
      <w:r w:rsidRPr="00D712EF">
        <w:rPr>
          <w:rFonts w:ascii="Century" w:hAnsi="Century" w:cs="Arial"/>
          <w:noProof/>
          <w:sz w:val="28"/>
          <w:szCs w:val="28"/>
          <w:lang w:val="uk-UA" w:eastAsia="uk-UA"/>
        </w:rPr>
        <w:drawing>
          <wp:inline distT="0" distB="0" distL="0" distR="0" wp14:anchorId="031BEA2F" wp14:editId="6B0DAC47">
            <wp:extent cx="42862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FFFFFF"/>
                    </a:solidFill>
                    <a:ln>
                      <a:noFill/>
                    </a:ln>
                  </pic:spPr>
                </pic:pic>
              </a:graphicData>
            </a:graphic>
          </wp:inline>
        </w:drawing>
      </w:r>
    </w:p>
    <w:p w14:paraId="5EB3C4F9" w14:textId="77777777" w:rsidR="00284B45" w:rsidRPr="00D712EF" w:rsidRDefault="00284B45" w:rsidP="00284B45">
      <w:pPr>
        <w:shd w:val="clear" w:color="auto" w:fill="FFFFFF"/>
        <w:jc w:val="center"/>
        <w:rPr>
          <w:rFonts w:ascii="Century" w:eastAsia="Calibri" w:hAnsi="Century"/>
          <w:sz w:val="32"/>
          <w:szCs w:val="32"/>
        </w:rPr>
      </w:pPr>
      <w:r w:rsidRPr="00D712EF">
        <w:rPr>
          <w:rFonts w:ascii="Century" w:eastAsia="Calibri" w:hAnsi="Century"/>
          <w:sz w:val="32"/>
          <w:szCs w:val="32"/>
        </w:rPr>
        <w:t>УКРАЇНА</w:t>
      </w:r>
    </w:p>
    <w:p w14:paraId="31986A70" w14:textId="77777777" w:rsidR="00284B45" w:rsidRPr="00D712EF" w:rsidRDefault="00284B45" w:rsidP="00284B45">
      <w:pPr>
        <w:shd w:val="clear" w:color="auto" w:fill="FFFFFF"/>
        <w:jc w:val="center"/>
        <w:rPr>
          <w:rFonts w:ascii="Century" w:eastAsia="Calibri" w:hAnsi="Century"/>
          <w:b/>
          <w:sz w:val="32"/>
        </w:rPr>
      </w:pPr>
      <w:r w:rsidRPr="00D712EF">
        <w:rPr>
          <w:rFonts w:ascii="Century" w:eastAsia="Calibri" w:hAnsi="Century"/>
          <w:b/>
          <w:sz w:val="32"/>
        </w:rPr>
        <w:t>ГОРОДОЦЬКА МІСЬКА РАДА</w:t>
      </w:r>
    </w:p>
    <w:p w14:paraId="3F380655" w14:textId="77777777" w:rsidR="00284B45" w:rsidRPr="00D712EF" w:rsidRDefault="00284B45" w:rsidP="00284B45">
      <w:pPr>
        <w:shd w:val="clear" w:color="auto" w:fill="FFFFFF"/>
        <w:jc w:val="center"/>
        <w:rPr>
          <w:rFonts w:ascii="Century" w:eastAsia="Calibri" w:hAnsi="Century"/>
          <w:sz w:val="32"/>
        </w:rPr>
      </w:pPr>
      <w:r w:rsidRPr="00D712EF">
        <w:rPr>
          <w:rFonts w:ascii="Century" w:eastAsia="Calibri" w:hAnsi="Century"/>
          <w:sz w:val="32"/>
        </w:rPr>
        <w:t>ЛЬВІВСЬКОЇ ОБЛАСТІ</w:t>
      </w:r>
    </w:p>
    <w:p w14:paraId="6357B4D5" w14:textId="77777777" w:rsidR="00284B45" w:rsidRPr="00D712EF" w:rsidRDefault="0006763E" w:rsidP="00284B45">
      <w:pPr>
        <w:shd w:val="clear" w:color="auto" w:fill="FFFFFF"/>
        <w:jc w:val="center"/>
        <w:rPr>
          <w:rFonts w:ascii="Century" w:eastAsia="Calibri" w:hAnsi="Century"/>
          <w:bCs/>
          <w:caps/>
          <w:szCs w:val="28"/>
        </w:rPr>
      </w:pPr>
      <w:r w:rsidRPr="00D712EF">
        <w:rPr>
          <w:rFonts w:ascii="Century" w:eastAsia="Calibri" w:hAnsi="Century"/>
          <w:bCs/>
          <w:sz w:val="32"/>
          <w:szCs w:val="32"/>
        </w:rPr>
        <w:t>28</w:t>
      </w:r>
      <w:r w:rsidR="00284B45" w:rsidRPr="00D712EF">
        <w:rPr>
          <w:rFonts w:ascii="Century" w:eastAsia="Calibri" w:hAnsi="Century"/>
          <w:bCs/>
          <w:sz w:val="32"/>
          <w:szCs w:val="32"/>
        </w:rPr>
        <w:t xml:space="preserve"> </w:t>
      </w:r>
      <w:r w:rsidR="00284B45" w:rsidRPr="00D712EF">
        <w:rPr>
          <w:rFonts w:ascii="Century" w:eastAsia="Calibri" w:hAnsi="Century"/>
          <w:bCs/>
          <w:caps/>
          <w:sz w:val="32"/>
          <w:szCs w:val="32"/>
        </w:rPr>
        <w:t>сесія восьмого скликання</w:t>
      </w:r>
    </w:p>
    <w:p w14:paraId="36C133EF" w14:textId="0F3F43E3" w:rsidR="00284B45" w:rsidRPr="00D712EF" w:rsidRDefault="00284B45" w:rsidP="00284B45">
      <w:pPr>
        <w:spacing w:line="276" w:lineRule="auto"/>
        <w:jc w:val="center"/>
        <w:rPr>
          <w:rFonts w:ascii="Century" w:hAnsi="Century"/>
          <w:b/>
          <w:bCs/>
          <w:sz w:val="32"/>
          <w:szCs w:val="32"/>
          <w:lang w:val="ru-RU"/>
        </w:rPr>
      </w:pPr>
      <w:r w:rsidRPr="00D712EF">
        <w:rPr>
          <w:rFonts w:ascii="Century" w:eastAsia="Calibri" w:hAnsi="Century"/>
          <w:b/>
          <w:sz w:val="32"/>
          <w:szCs w:val="32"/>
        </w:rPr>
        <w:t xml:space="preserve">РІШЕННЯ № </w:t>
      </w:r>
      <w:r w:rsidR="006B40BA">
        <w:rPr>
          <w:rFonts w:ascii="Century" w:eastAsia="Calibri" w:hAnsi="Century"/>
          <w:b/>
          <w:sz w:val="32"/>
          <w:szCs w:val="32"/>
        </w:rPr>
        <w:t>23/28-5339</w:t>
      </w:r>
    </w:p>
    <w:p w14:paraId="2CF22886" w14:textId="77777777" w:rsidR="00C61160" w:rsidRPr="00D712EF" w:rsidRDefault="00C61160" w:rsidP="00284B45">
      <w:pPr>
        <w:spacing w:line="276" w:lineRule="auto"/>
        <w:jc w:val="center"/>
        <w:rPr>
          <w:rFonts w:ascii="Century" w:eastAsia="Calibri" w:hAnsi="Century"/>
          <w:b/>
          <w:sz w:val="32"/>
          <w:szCs w:val="32"/>
        </w:rPr>
      </w:pPr>
    </w:p>
    <w:p w14:paraId="61096835" w14:textId="77777777" w:rsidR="00284B45" w:rsidRPr="00D712EF" w:rsidRDefault="0006763E" w:rsidP="00284B45">
      <w:pPr>
        <w:rPr>
          <w:rFonts w:ascii="Century" w:eastAsia="Calibri" w:hAnsi="Century"/>
          <w:sz w:val="28"/>
          <w:szCs w:val="28"/>
        </w:rPr>
      </w:pPr>
      <w:bookmarkStart w:id="0" w:name="_Hlk69735883"/>
      <w:r w:rsidRPr="00D712EF">
        <w:rPr>
          <w:rFonts w:ascii="Century" w:eastAsia="Calibri" w:hAnsi="Century"/>
          <w:sz w:val="28"/>
          <w:szCs w:val="28"/>
        </w:rPr>
        <w:t>9 лютого 2023</w:t>
      </w:r>
      <w:r w:rsidR="00284B45" w:rsidRPr="00D712EF">
        <w:rPr>
          <w:rFonts w:ascii="Century" w:eastAsia="Calibri" w:hAnsi="Century"/>
          <w:sz w:val="28"/>
          <w:szCs w:val="28"/>
        </w:rPr>
        <w:t xml:space="preserve"> року</w:t>
      </w:r>
      <w:r w:rsidR="00284B45" w:rsidRPr="00D712EF">
        <w:rPr>
          <w:rFonts w:ascii="Century" w:eastAsia="Calibri" w:hAnsi="Century"/>
          <w:sz w:val="28"/>
          <w:szCs w:val="28"/>
        </w:rPr>
        <w:tab/>
      </w:r>
      <w:r w:rsidR="00284B45" w:rsidRPr="00D712EF">
        <w:rPr>
          <w:rFonts w:ascii="Century" w:eastAsia="Calibri" w:hAnsi="Century"/>
          <w:sz w:val="28"/>
          <w:szCs w:val="28"/>
        </w:rPr>
        <w:tab/>
      </w:r>
      <w:r w:rsidR="00284B45" w:rsidRPr="00D712EF">
        <w:rPr>
          <w:rFonts w:ascii="Century" w:eastAsia="Calibri" w:hAnsi="Century"/>
          <w:sz w:val="28"/>
          <w:szCs w:val="28"/>
        </w:rPr>
        <w:tab/>
      </w:r>
      <w:r w:rsidR="00284B45" w:rsidRPr="00D712EF">
        <w:rPr>
          <w:rFonts w:ascii="Century" w:eastAsia="Calibri" w:hAnsi="Century"/>
          <w:sz w:val="28"/>
          <w:szCs w:val="28"/>
        </w:rPr>
        <w:tab/>
      </w:r>
      <w:r w:rsidR="00284B45" w:rsidRPr="00D712EF">
        <w:rPr>
          <w:rFonts w:ascii="Century" w:eastAsia="Calibri" w:hAnsi="Century"/>
          <w:sz w:val="28"/>
          <w:szCs w:val="28"/>
        </w:rPr>
        <w:tab/>
        <w:t xml:space="preserve">     </w:t>
      </w:r>
      <w:r w:rsidR="004C4BA8" w:rsidRPr="00D712EF">
        <w:rPr>
          <w:rFonts w:ascii="Century" w:eastAsia="Calibri" w:hAnsi="Century"/>
          <w:sz w:val="28"/>
          <w:szCs w:val="28"/>
        </w:rPr>
        <w:t xml:space="preserve">                           </w:t>
      </w:r>
      <w:r w:rsidR="00284B45" w:rsidRPr="00D712EF">
        <w:rPr>
          <w:rFonts w:ascii="Century" w:eastAsia="Calibri" w:hAnsi="Century"/>
          <w:sz w:val="28"/>
          <w:szCs w:val="28"/>
        </w:rPr>
        <w:t>м. Городок</w:t>
      </w:r>
    </w:p>
    <w:p w14:paraId="40EF96B1" w14:textId="77777777" w:rsidR="003808CE" w:rsidRPr="00D712EF" w:rsidRDefault="003808CE" w:rsidP="00284B45">
      <w:pPr>
        <w:rPr>
          <w:rFonts w:ascii="Century" w:eastAsia="Calibri" w:hAnsi="Century"/>
          <w:sz w:val="28"/>
          <w:szCs w:val="28"/>
        </w:rPr>
      </w:pPr>
    </w:p>
    <w:p w14:paraId="4274CB2F" w14:textId="77777777" w:rsidR="009C2509" w:rsidRPr="00D712EF" w:rsidRDefault="009B4CC0" w:rsidP="00C61160">
      <w:pPr>
        <w:rPr>
          <w:rFonts w:ascii="Century" w:hAnsi="Century"/>
          <w:b/>
          <w:sz w:val="28"/>
          <w:szCs w:val="28"/>
        </w:rPr>
      </w:pPr>
      <w:r w:rsidRPr="00D712EF">
        <w:rPr>
          <w:rFonts w:ascii="Century" w:hAnsi="Century"/>
          <w:b/>
          <w:bCs/>
          <w:sz w:val="28"/>
          <w:szCs w:val="28"/>
        </w:rPr>
        <w:t xml:space="preserve">Про </w:t>
      </w:r>
      <w:r w:rsidR="003808CE" w:rsidRPr="00D712EF">
        <w:rPr>
          <w:rFonts w:ascii="Century" w:hAnsi="Century"/>
          <w:b/>
          <w:sz w:val="28"/>
          <w:szCs w:val="28"/>
        </w:rPr>
        <w:t xml:space="preserve">затвердження Програми «Пожежної та техногенної безпеки Городоцької територіальної громади, направленої на забезпечення функціонування 15 Державної пожежно-рятувальної частини 10 Державного пожежно-рятувального загону ГУ ДСНС України у Львівській області </w:t>
      </w:r>
      <w:r w:rsidRPr="00D712EF">
        <w:rPr>
          <w:rFonts w:ascii="Century" w:hAnsi="Century"/>
          <w:b/>
          <w:sz w:val="28"/>
          <w:szCs w:val="28"/>
        </w:rPr>
        <w:t>на 2023</w:t>
      </w:r>
      <w:r w:rsidR="003808CE" w:rsidRPr="00D712EF">
        <w:rPr>
          <w:rFonts w:ascii="Century" w:hAnsi="Century"/>
          <w:b/>
          <w:sz w:val="28"/>
          <w:szCs w:val="28"/>
        </w:rPr>
        <w:t xml:space="preserve"> рік»</w:t>
      </w:r>
      <w:bookmarkEnd w:id="0"/>
      <w:r w:rsidR="009C2509" w:rsidRPr="00D712EF">
        <w:rPr>
          <w:rFonts w:ascii="Century" w:hAnsi="Century"/>
          <w:b/>
          <w:sz w:val="28"/>
          <w:szCs w:val="28"/>
        </w:rPr>
        <w:t xml:space="preserve">                                          </w:t>
      </w:r>
    </w:p>
    <w:p w14:paraId="15A39D79" w14:textId="77777777" w:rsidR="009C2509" w:rsidRPr="00D712EF" w:rsidRDefault="003808CE" w:rsidP="003808CE">
      <w:pPr>
        <w:pStyle w:val="ad"/>
        <w:rPr>
          <w:rFonts w:ascii="Century" w:hAnsi="Century"/>
          <w:sz w:val="28"/>
          <w:szCs w:val="28"/>
        </w:rPr>
      </w:pPr>
      <w:r w:rsidRPr="00D712EF">
        <w:rPr>
          <w:rFonts w:ascii="Century" w:hAnsi="Century"/>
          <w:b/>
          <w:sz w:val="28"/>
          <w:szCs w:val="28"/>
        </w:rPr>
        <w:t xml:space="preserve"> </w:t>
      </w:r>
    </w:p>
    <w:p w14:paraId="40DCE4CD" w14:textId="77777777" w:rsidR="009C2509" w:rsidRPr="00D712EF" w:rsidRDefault="003C1560" w:rsidP="00D712EF">
      <w:pPr>
        <w:pStyle w:val="1"/>
        <w:shd w:val="clear" w:color="auto" w:fill="FFFFFF"/>
        <w:spacing w:after="96"/>
        <w:ind w:firstLine="567"/>
        <w:jc w:val="both"/>
        <w:textAlignment w:val="baseline"/>
        <w:rPr>
          <w:rFonts w:ascii="Century" w:hAnsi="Century"/>
          <w:b w:val="0"/>
          <w:color w:val="auto"/>
        </w:rPr>
      </w:pPr>
      <w:r w:rsidRPr="00D712EF">
        <w:rPr>
          <w:rFonts w:ascii="Century" w:hAnsi="Century"/>
          <w:b w:val="0"/>
          <w:color w:val="000000"/>
        </w:rPr>
        <w:t>З метою забезпечення боєздатності, реагування на надзвичайні ситуації, аварії, пожежі та інші небезпечні події інші, які можуть виникнути на території Городоцької ТГ, керуючись статтею 26 Закону України «Про місцеве самоврядування в Україні», міська рада</w:t>
      </w:r>
      <w:r w:rsidRPr="00D712EF">
        <w:rPr>
          <w:rFonts w:ascii="Century" w:hAnsi="Century"/>
          <w:b w:val="0"/>
          <w:bCs w:val="0"/>
          <w:color w:val="auto"/>
        </w:rPr>
        <w:t xml:space="preserve"> </w:t>
      </w:r>
      <w:r w:rsidR="009C2509" w:rsidRPr="00D712EF">
        <w:rPr>
          <w:rFonts w:ascii="Century" w:hAnsi="Century"/>
          <w:b w:val="0"/>
          <w:color w:val="auto"/>
        </w:rPr>
        <w:t xml:space="preserve"> </w:t>
      </w:r>
    </w:p>
    <w:p w14:paraId="75426F00" w14:textId="77777777" w:rsidR="009C2509" w:rsidRPr="00D712EF" w:rsidRDefault="009C2509" w:rsidP="009C2509">
      <w:pPr>
        <w:ind w:firstLine="851"/>
        <w:rPr>
          <w:rFonts w:ascii="Century" w:hAnsi="Century"/>
          <w:sz w:val="28"/>
          <w:szCs w:val="28"/>
        </w:rPr>
      </w:pPr>
    </w:p>
    <w:p w14:paraId="10A94DBC" w14:textId="77777777" w:rsidR="00AB3767" w:rsidRPr="00D712EF" w:rsidRDefault="00AB3767" w:rsidP="00D712EF">
      <w:pPr>
        <w:jc w:val="left"/>
        <w:rPr>
          <w:rFonts w:ascii="Century" w:hAnsi="Century"/>
          <w:b/>
          <w:sz w:val="28"/>
          <w:szCs w:val="28"/>
        </w:rPr>
      </w:pPr>
      <w:r w:rsidRPr="00D712EF">
        <w:rPr>
          <w:rFonts w:ascii="Century" w:hAnsi="Century"/>
          <w:b/>
          <w:sz w:val="28"/>
          <w:szCs w:val="28"/>
        </w:rPr>
        <w:t>В И Р І Ш И Л А:</w:t>
      </w:r>
    </w:p>
    <w:p w14:paraId="4A17ED27" w14:textId="77777777" w:rsidR="00F124E0" w:rsidRPr="00D712EF" w:rsidRDefault="00F124E0" w:rsidP="00AB3767">
      <w:pPr>
        <w:jc w:val="center"/>
        <w:rPr>
          <w:rFonts w:ascii="Century" w:hAnsi="Century"/>
          <w:b/>
          <w:sz w:val="28"/>
          <w:szCs w:val="28"/>
        </w:rPr>
      </w:pPr>
    </w:p>
    <w:p w14:paraId="12F1D26E" w14:textId="77777777" w:rsidR="009C2509" w:rsidRPr="00D712EF" w:rsidRDefault="009C2509" w:rsidP="009C2509">
      <w:pPr>
        <w:rPr>
          <w:rFonts w:ascii="Century" w:hAnsi="Century"/>
          <w:sz w:val="28"/>
          <w:szCs w:val="28"/>
        </w:rPr>
      </w:pPr>
      <w:r w:rsidRPr="00D712EF">
        <w:rPr>
          <w:rFonts w:ascii="Century" w:hAnsi="Century"/>
          <w:sz w:val="28"/>
          <w:szCs w:val="28"/>
        </w:rPr>
        <w:t xml:space="preserve">1. </w:t>
      </w:r>
      <w:r w:rsidR="00704308" w:rsidRPr="00D712EF">
        <w:rPr>
          <w:rFonts w:ascii="Century" w:hAnsi="Century"/>
          <w:sz w:val="28"/>
          <w:szCs w:val="28"/>
        </w:rPr>
        <w:t>Затвердити Програму «Пожежної та техногенної безпеки Городоцької ТГ, направленої на забезпечення функціонування 15 Державної пожежно-рятувальної частини 10 Державного пожежно-рятувального загону ГУ ДСНС України у Львівській області на 2023 рік»,</w:t>
      </w:r>
      <w:r w:rsidR="00F124E0" w:rsidRPr="00D712EF">
        <w:rPr>
          <w:rFonts w:ascii="Century" w:hAnsi="Century"/>
          <w:sz w:val="28"/>
          <w:szCs w:val="28"/>
        </w:rPr>
        <w:t xml:space="preserve"> що додається.</w:t>
      </w:r>
      <w:r w:rsidR="00704308" w:rsidRPr="00D712EF">
        <w:rPr>
          <w:rFonts w:ascii="Century" w:hAnsi="Century"/>
          <w:sz w:val="28"/>
          <w:szCs w:val="28"/>
        </w:rPr>
        <w:t xml:space="preserve">  </w:t>
      </w:r>
    </w:p>
    <w:p w14:paraId="62227098" w14:textId="77777777" w:rsidR="009C2509" w:rsidRPr="00D712EF" w:rsidRDefault="009C2509" w:rsidP="009C2509">
      <w:pPr>
        <w:rPr>
          <w:rFonts w:ascii="Century" w:hAnsi="Century"/>
          <w:b/>
          <w:sz w:val="28"/>
          <w:szCs w:val="28"/>
          <w:u w:val="single"/>
        </w:rPr>
      </w:pPr>
    </w:p>
    <w:p w14:paraId="5E465E9E" w14:textId="77777777" w:rsidR="009C2509" w:rsidRPr="00D712EF" w:rsidRDefault="009C2509" w:rsidP="003C1560">
      <w:pPr>
        <w:pStyle w:val="30"/>
        <w:ind w:right="62" w:firstLine="0"/>
        <w:rPr>
          <w:rFonts w:ascii="Century" w:hAnsi="Century"/>
          <w:sz w:val="28"/>
          <w:szCs w:val="28"/>
        </w:rPr>
      </w:pPr>
      <w:r w:rsidRPr="00D712EF">
        <w:rPr>
          <w:rFonts w:ascii="Century" w:hAnsi="Century"/>
          <w:sz w:val="28"/>
          <w:szCs w:val="28"/>
        </w:rPr>
        <w:t xml:space="preserve">2. </w:t>
      </w:r>
      <w:r w:rsidR="00AB3767" w:rsidRPr="00D712EF">
        <w:rPr>
          <w:rFonts w:ascii="Century" w:hAnsi="Century"/>
          <w:sz w:val="28"/>
          <w:szCs w:val="28"/>
        </w:rPr>
        <w:t xml:space="preserve">Контроль за виконанням рішення покласти на постійну </w:t>
      </w:r>
      <w:r w:rsidR="00C61160" w:rsidRPr="00D712EF">
        <w:rPr>
          <w:rFonts w:ascii="Century" w:hAnsi="Century"/>
          <w:sz w:val="28"/>
          <w:szCs w:val="28"/>
        </w:rPr>
        <w:t xml:space="preserve">депутатську </w:t>
      </w:r>
      <w:r w:rsidR="00AB3767" w:rsidRPr="00D712EF">
        <w:rPr>
          <w:rFonts w:ascii="Century" w:hAnsi="Century"/>
          <w:sz w:val="28"/>
          <w:szCs w:val="28"/>
        </w:rPr>
        <w:t>комісію з питань</w:t>
      </w:r>
      <w:r w:rsidR="00AB3767" w:rsidRPr="00D712EF">
        <w:rPr>
          <w:rFonts w:ascii="Century" w:hAnsi="Century"/>
          <w:bCs/>
          <w:color w:val="000000"/>
          <w:sz w:val="28"/>
          <w:szCs w:val="28"/>
        </w:rPr>
        <w:t xml:space="preserve"> </w:t>
      </w:r>
      <w:r w:rsidR="00AB3767" w:rsidRPr="00D712EF">
        <w:rPr>
          <w:rFonts w:ascii="Century" w:hAnsi="Century"/>
          <w:bCs/>
          <w:color w:val="000000"/>
          <w:sz w:val="28"/>
          <w:szCs w:val="28"/>
          <w:shd w:val="clear" w:color="auto" w:fill="FFFFFF"/>
        </w:rPr>
        <w:t>бюджету, соціально-економічного розвитку, комунал</w:t>
      </w:r>
      <w:r w:rsidR="00C61160" w:rsidRPr="00D712EF">
        <w:rPr>
          <w:rFonts w:ascii="Century" w:hAnsi="Century"/>
          <w:bCs/>
          <w:color w:val="000000"/>
          <w:sz w:val="28"/>
          <w:szCs w:val="28"/>
          <w:shd w:val="clear" w:color="auto" w:fill="FFFFFF"/>
        </w:rPr>
        <w:t>ьного майна і приватизації (</w:t>
      </w:r>
      <w:r w:rsidR="00AB3767" w:rsidRPr="00D712EF">
        <w:rPr>
          <w:rFonts w:ascii="Century" w:hAnsi="Century"/>
          <w:bCs/>
          <w:color w:val="000000"/>
          <w:sz w:val="28"/>
          <w:szCs w:val="28"/>
          <w:shd w:val="clear" w:color="auto" w:fill="FFFFFF"/>
        </w:rPr>
        <w:t>І.Мєскало)</w:t>
      </w:r>
      <w:r w:rsidR="00AB3767" w:rsidRPr="00D712EF">
        <w:rPr>
          <w:rFonts w:ascii="Century" w:hAnsi="Century"/>
          <w:sz w:val="28"/>
          <w:szCs w:val="28"/>
        </w:rPr>
        <w:t>.</w:t>
      </w:r>
    </w:p>
    <w:p w14:paraId="4CA8C6B6" w14:textId="77777777" w:rsidR="009C2509" w:rsidRPr="00D712EF" w:rsidRDefault="009C2509" w:rsidP="009C2509">
      <w:pPr>
        <w:spacing w:after="120"/>
        <w:ind w:firstLine="851"/>
        <w:rPr>
          <w:rFonts w:ascii="Century" w:hAnsi="Century"/>
          <w:sz w:val="28"/>
          <w:szCs w:val="28"/>
          <w:lang w:val="ru-RU"/>
        </w:rPr>
      </w:pPr>
    </w:p>
    <w:p w14:paraId="01DC22DE" w14:textId="77777777" w:rsidR="00D712EF" w:rsidRPr="00D712EF" w:rsidRDefault="009C2509" w:rsidP="003808CE">
      <w:pPr>
        <w:spacing w:after="120"/>
        <w:rPr>
          <w:rFonts w:ascii="Century" w:hAnsi="Century"/>
          <w:b/>
          <w:sz w:val="28"/>
          <w:szCs w:val="28"/>
        </w:rPr>
      </w:pPr>
      <w:r w:rsidRPr="00D712EF">
        <w:rPr>
          <w:rFonts w:ascii="Century" w:hAnsi="Century"/>
          <w:b/>
          <w:sz w:val="28"/>
          <w:szCs w:val="28"/>
        </w:rPr>
        <w:t xml:space="preserve">Міський голова                                   </w:t>
      </w:r>
      <w:r w:rsidR="003808CE" w:rsidRPr="00D712EF">
        <w:rPr>
          <w:rFonts w:ascii="Century" w:hAnsi="Century"/>
          <w:b/>
          <w:sz w:val="28"/>
          <w:szCs w:val="28"/>
          <w:lang w:val="ru-RU"/>
        </w:rPr>
        <w:t xml:space="preserve">        </w:t>
      </w:r>
      <w:r w:rsidR="00E6120F" w:rsidRPr="00D712EF">
        <w:rPr>
          <w:rFonts w:ascii="Century" w:hAnsi="Century"/>
          <w:b/>
          <w:sz w:val="28"/>
          <w:szCs w:val="28"/>
        </w:rPr>
        <w:t xml:space="preserve">    </w:t>
      </w:r>
      <w:r w:rsidR="003808CE" w:rsidRPr="00D712EF">
        <w:rPr>
          <w:rFonts w:ascii="Century" w:hAnsi="Century"/>
          <w:b/>
          <w:sz w:val="28"/>
          <w:szCs w:val="28"/>
          <w:lang w:val="ru-RU"/>
        </w:rPr>
        <w:t xml:space="preserve">        </w:t>
      </w:r>
      <w:r w:rsidRPr="00D712EF">
        <w:rPr>
          <w:rFonts w:ascii="Century" w:hAnsi="Century"/>
          <w:b/>
          <w:sz w:val="28"/>
          <w:szCs w:val="28"/>
        </w:rPr>
        <w:t>Володимир РЕМЕНЯК</w:t>
      </w:r>
    </w:p>
    <w:p w14:paraId="2265A1B5" w14:textId="75FB7B8A" w:rsidR="006B40BA" w:rsidRDefault="00D712EF" w:rsidP="006B40BA">
      <w:pPr>
        <w:pStyle w:val="Default"/>
        <w:ind w:left="5103"/>
        <w:rPr>
          <w:rFonts w:ascii="Century" w:hAnsi="Century"/>
          <w:b/>
          <w:sz w:val="28"/>
          <w:szCs w:val="28"/>
        </w:rPr>
      </w:pPr>
      <w:r w:rsidRPr="00D712EF">
        <w:rPr>
          <w:rFonts w:ascii="Century" w:hAnsi="Century"/>
          <w:b/>
          <w:sz w:val="28"/>
          <w:szCs w:val="28"/>
        </w:rPr>
        <w:br w:type="page"/>
      </w:r>
      <w:r w:rsidR="006B40BA">
        <w:rPr>
          <w:rFonts w:ascii="Century" w:hAnsi="Century"/>
          <w:b/>
          <w:sz w:val="28"/>
          <w:szCs w:val="28"/>
        </w:rPr>
        <w:lastRenderedPageBreak/>
        <w:t>ЗАТВЕРДЖЕНО</w:t>
      </w:r>
    </w:p>
    <w:p w14:paraId="4BBF4F8C" w14:textId="5850102F" w:rsidR="006B40BA" w:rsidRPr="006B40BA" w:rsidRDefault="006B40BA" w:rsidP="006B40BA">
      <w:pPr>
        <w:pStyle w:val="Default"/>
        <w:ind w:left="5103"/>
        <w:rPr>
          <w:rFonts w:ascii="Century" w:hAnsi="Century"/>
          <w:bCs/>
          <w:sz w:val="28"/>
          <w:szCs w:val="28"/>
        </w:rPr>
      </w:pPr>
      <w:r w:rsidRPr="006B40BA">
        <w:rPr>
          <w:rFonts w:ascii="Century" w:hAnsi="Century"/>
          <w:bCs/>
          <w:sz w:val="28"/>
          <w:szCs w:val="28"/>
        </w:rPr>
        <w:t>Рішення сесії Городоцької міської ради Львівської області</w:t>
      </w:r>
    </w:p>
    <w:p w14:paraId="1289BE82" w14:textId="29519B31" w:rsidR="006B40BA" w:rsidRPr="006B40BA" w:rsidRDefault="006B40BA" w:rsidP="006B40BA">
      <w:pPr>
        <w:pStyle w:val="Default"/>
        <w:ind w:left="5103"/>
        <w:rPr>
          <w:rFonts w:ascii="Century" w:hAnsi="Century"/>
          <w:bCs/>
          <w:sz w:val="28"/>
          <w:szCs w:val="28"/>
        </w:rPr>
      </w:pPr>
      <w:r w:rsidRPr="006B40BA">
        <w:rPr>
          <w:rFonts w:ascii="Century" w:hAnsi="Century"/>
          <w:bCs/>
          <w:sz w:val="28"/>
          <w:szCs w:val="28"/>
        </w:rPr>
        <w:t>09.02.2023 № 23/28-5339</w:t>
      </w:r>
    </w:p>
    <w:p w14:paraId="0D0B9C24" w14:textId="77777777" w:rsidR="006B40BA" w:rsidRDefault="006B40BA" w:rsidP="006B40BA">
      <w:pPr>
        <w:pStyle w:val="Default"/>
        <w:jc w:val="center"/>
        <w:rPr>
          <w:rFonts w:ascii="Century" w:hAnsi="Century"/>
          <w:b/>
          <w:sz w:val="28"/>
          <w:szCs w:val="28"/>
        </w:rPr>
      </w:pPr>
    </w:p>
    <w:p w14:paraId="5421122C" w14:textId="77777777" w:rsidR="006B40BA" w:rsidRDefault="006B40BA" w:rsidP="006B40BA">
      <w:pPr>
        <w:pStyle w:val="Default"/>
        <w:jc w:val="center"/>
        <w:rPr>
          <w:rFonts w:ascii="Century" w:hAnsi="Century"/>
          <w:b/>
          <w:sz w:val="28"/>
          <w:szCs w:val="28"/>
        </w:rPr>
      </w:pPr>
    </w:p>
    <w:p w14:paraId="3AAB1AAB" w14:textId="77777777" w:rsidR="006B40BA" w:rsidRDefault="006B40BA" w:rsidP="006B40BA">
      <w:pPr>
        <w:pStyle w:val="Default"/>
        <w:jc w:val="center"/>
        <w:rPr>
          <w:rFonts w:ascii="Century" w:hAnsi="Century"/>
          <w:b/>
          <w:sz w:val="28"/>
          <w:szCs w:val="28"/>
        </w:rPr>
      </w:pPr>
    </w:p>
    <w:p w14:paraId="775D4605" w14:textId="77777777" w:rsidR="006B40BA" w:rsidRDefault="006B40BA" w:rsidP="006B40BA">
      <w:pPr>
        <w:pStyle w:val="Default"/>
        <w:jc w:val="center"/>
        <w:rPr>
          <w:rFonts w:ascii="Century" w:hAnsi="Century"/>
          <w:b/>
          <w:sz w:val="28"/>
          <w:szCs w:val="28"/>
        </w:rPr>
      </w:pPr>
    </w:p>
    <w:p w14:paraId="4499740D" w14:textId="77777777" w:rsidR="006B40BA" w:rsidRDefault="006B40BA" w:rsidP="006B40BA">
      <w:pPr>
        <w:pStyle w:val="Default"/>
        <w:jc w:val="center"/>
        <w:rPr>
          <w:rFonts w:ascii="Century" w:hAnsi="Century"/>
          <w:b/>
          <w:sz w:val="28"/>
          <w:szCs w:val="28"/>
        </w:rPr>
      </w:pPr>
    </w:p>
    <w:p w14:paraId="559FADD6" w14:textId="77777777" w:rsidR="006B40BA" w:rsidRDefault="006B40BA" w:rsidP="006B40BA">
      <w:pPr>
        <w:pStyle w:val="Default"/>
        <w:jc w:val="center"/>
        <w:rPr>
          <w:rFonts w:ascii="Century" w:hAnsi="Century"/>
          <w:b/>
          <w:sz w:val="28"/>
          <w:szCs w:val="28"/>
        </w:rPr>
      </w:pPr>
    </w:p>
    <w:p w14:paraId="56B32B30" w14:textId="77777777" w:rsidR="006B40BA" w:rsidRDefault="006B40BA" w:rsidP="006B40BA">
      <w:pPr>
        <w:pStyle w:val="Default"/>
        <w:jc w:val="center"/>
        <w:rPr>
          <w:rFonts w:ascii="Century" w:hAnsi="Century"/>
          <w:b/>
          <w:sz w:val="28"/>
          <w:szCs w:val="28"/>
        </w:rPr>
      </w:pPr>
    </w:p>
    <w:p w14:paraId="45310624" w14:textId="69DCCD0C" w:rsidR="006B40BA" w:rsidRPr="006B40BA" w:rsidRDefault="006B40BA" w:rsidP="006B40BA">
      <w:pPr>
        <w:pStyle w:val="Default"/>
        <w:jc w:val="center"/>
        <w:rPr>
          <w:rFonts w:ascii="Century" w:hAnsi="Century"/>
          <w:b/>
          <w:sz w:val="28"/>
          <w:szCs w:val="28"/>
        </w:rPr>
      </w:pPr>
      <w:r w:rsidRPr="006B40BA">
        <w:rPr>
          <w:rFonts w:ascii="Century" w:hAnsi="Century"/>
          <w:b/>
          <w:sz w:val="28"/>
          <w:szCs w:val="28"/>
        </w:rPr>
        <w:t>ПРОГРАМА</w:t>
      </w:r>
    </w:p>
    <w:p w14:paraId="04C55B8A" w14:textId="77777777" w:rsidR="006B40BA" w:rsidRPr="006B40BA" w:rsidRDefault="006B40BA" w:rsidP="006B40BA">
      <w:pPr>
        <w:pStyle w:val="Default"/>
        <w:jc w:val="center"/>
        <w:rPr>
          <w:rFonts w:ascii="Century" w:hAnsi="Century"/>
          <w:b/>
          <w:sz w:val="28"/>
          <w:szCs w:val="28"/>
        </w:rPr>
      </w:pPr>
    </w:p>
    <w:p w14:paraId="2255630C" w14:textId="7B74F73E" w:rsidR="006B40BA" w:rsidRPr="006B40BA" w:rsidRDefault="006B40BA" w:rsidP="006B40BA">
      <w:pPr>
        <w:pStyle w:val="Default"/>
        <w:spacing w:line="360" w:lineRule="auto"/>
        <w:jc w:val="center"/>
        <w:rPr>
          <w:rFonts w:ascii="Century" w:hAnsi="Century"/>
          <w:b/>
          <w:sz w:val="28"/>
          <w:szCs w:val="28"/>
        </w:rPr>
      </w:pPr>
      <w:r w:rsidRPr="006B40BA">
        <w:rPr>
          <w:rFonts w:ascii="Century" w:hAnsi="Century"/>
          <w:b/>
          <w:sz w:val="28"/>
          <w:szCs w:val="28"/>
        </w:rPr>
        <w:t>пожежної та техногенної безпеки Городоцької ТГ</w:t>
      </w:r>
    </w:p>
    <w:p w14:paraId="40C599C1" w14:textId="513DF8FD" w:rsidR="006B40BA" w:rsidRPr="006B40BA" w:rsidRDefault="006B40BA" w:rsidP="006B40BA">
      <w:pPr>
        <w:pStyle w:val="Default"/>
        <w:spacing w:line="360" w:lineRule="auto"/>
        <w:jc w:val="center"/>
        <w:rPr>
          <w:rFonts w:ascii="Century" w:hAnsi="Century"/>
          <w:b/>
          <w:sz w:val="28"/>
          <w:szCs w:val="28"/>
        </w:rPr>
      </w:pPr>
      <w:r w:rsidRPr="006B40BA">
        <w:rPr>
          <w:rFonts w:ascii="Century" w:hAnsi="Century"/>
          <w:b/>
          <w:sz w:val="28"/>
          <w:szCs w:val="28"/>
        </w:rPr>
        <w:t>Львівської області,</w:t>
      </w:r>
      <w:r>
        <w:rPr>
          <w:rFonts w:ascii="Century" w:hAnsi="Century"/>
          <w:b/>
          <w:sz w:val="28"/>
          <w:szCs w:val="28"/>
        </w:rPr>
        <w:t xml:space="preserve"> </w:t>
      </w:r>
      <w:r w:rsidRPr="006B40BA">
        <w:rPr>
          <w:rFonts w:ascii="Century" w:hAnsi="Century"/>
          <w:b/>
          <w:sz w:val="28"/>
          <w:szCs w:val="28"/>
        </w:rPr>
        <w:t>направленої на забезпечення функціонування</w:t>
      </w:r>
    </w:p>
    <w:p w14:paraId="520241C9" w14:textId="77777777" w:rsidR="006B40BA" w:rsidRDefault="006B40BA" w:rsidP="006B40BA">
      <w:pPr>
        <w:pStyle w:val="Default"/>
        <w:spacing w:line="360" w:lineRule="auto"/>
        <w:jc w:val="center"/>
        <w:rPr>
          <w:rFonts w:ascii="Century" w:hAnsi="Century"/>
          <w:b/>
          <w:sz w:val="28"/>
          <w:szCs w:val="28"/>
        </w:rPr>
      </w:pPr>
      <w:r w:rsidRPr="006B40BA">
        <w:rPr>
          <w:rFonts w:ascii="Century" w:hAnsi="Century"/>
          <w:b/>
          <w:sz w:val="28"/>
          <w:szCs w:val="28"/>
        </w:rPr>
        <w:t>15 Державної пожежно-рятувальної частини 10 Державного пожежно-рятувального</w:t>
      </w:r>
      <w:r>
        <w:rPr>
          <w:rFonts w:ascii="Century" w:hAnsi="Century"/>
          <w:b/>
          <w:sz w:val="28"/>
          <w:szCs w:val="28"/>
        </w:rPr>
        <w:t xml:space="preserve"> </w:t>
      </w:r>
      <w:r w:rsidRPr="006B40BA">
        <w:rPr>
          <w:rFonts w:ascii="Century" w:hAnsi="Century"/>
          <w:b/>
          <w:sz w:val="28"/>
          <w:szCs w:val="28"/>
        </w:rPr>
        <w:t>загону ГУ ДСНС у Львівській області на 2023 р.</w:t>
      </w:r>
    </w:p>
    <w:p w14:paraId="6952F3F6" w14:textId="77777777" w:rsidR="006B40BA" w:rsidRPr="006B40BA" w:rsidRDefault="006B40BA" w:rsidP="006B40BA">
      <w:pPr>
        <w:rPr>
          <w:lang w:eastAsia="uk-UA"/>
        </w:rPr>
      </w:pPr>
    </w:p>
    <w:p w14:paraId="1AECDC62" w14:textId="77777777" w:rsidR="006B40BA" w:rsidRPr="006B40BA" w:rsidRDefault="006B40BA" w:rsidP="006B40BA">
      <w:pPr>
        <w:rPr>
          <w:lang w:eastAsia="uk-UA"/>
        </w:rPr>
      </w:pPr>
    </w:p>
    <w:p w14:paraId="2E5DFE4E" w14:textId="77777777" w:rsidR="006B40BA" w:rsidRPr="006B40BA" w:rsidRDefault="006B40BA" w:rsidP="006B40BA">
      <w:pPr>
        <w:rPr>
          <w:lang w:eastAsia="uk-UA"/>
        </w:rPr>
      </w:pPr>
    </w:p>
    <w:p w14:paraId="643C91FE" w14:textId="77777777" w:rsidR="006B40BA" w:rsidRPr="006B40BA" w:rsidRDefault="006B40BA" w:rsidP="006B40BA">
      <w:pPr>
        <w:rPr>
          <w:lang w:eastAsia="uk-UA"/>
        </w:rPr>
      </w:pPr>
    </w:p>
    <w:p w14:paraId="2A30E84C" w14:textId="77777777" w:rsidR="006B40BA" w:rsidRPr="006B40BA" w:rsidRDefault="006B40BA" w:rsidP="006B40BA">
      <w:pPr>
        <w:rPr>
          <w:lang w:eastAsia="uk-UA"/>
        </w:rPr>
      </w:pPr>
    </w:p>
    <w:p w14:paraId="5C2A7DAC" w14:textId="77777777" w:rsidR="006B40BA" w:rsidRPr="006B40BA" w:rsidRDefault="006B40BA" w:rsidP="006B40BA">
      <w:pPr>
        <w:rPr>
          <w:lang w:eastAsia="uk-UA"/>
        </w:rPr>
      </w:pPr>
    </w:p>
    <w:p w14:paraId="33723C38" w14:textId="77777777" w:rsidR="006B40BA" w:rsidRPr="006B40BA" w:rsidRDefault="006B40BA" w:rsidP="006B40BA">
      <w:pPr>
        <w:rPr>
          <w:lang w:eastAsia="uk-UA"/>
        </w:rPr>
      </w:pPr>
    </w:p>
    <w:p w14:paraId="1904F2DA" w14:textId="77777777" w:rsidR="006B40BA" w:rsidRPr="006B40BA" w:rsidRDefault="006B40BA" w:rsidP="006B40BA">
      <w:pPr>
        <w:rPr>
          <w:lang w:eastAsia="uk-UA"/>
        </w:rPr>
      </w:pPr>
    </w:p>
    <w:p w14:paraId="10BCF92D" w14:textId="77777777" w:rsidR="006B40BA" w:rsidRPr="006B40BA" w:rsidRDefault="006B40BA" w:rsidP="006B40BA">
      <w:pPr>
        <w:rPr>
          <w:lang w:eastAsia="uk-UA"/>
        </w:rPr>
      </w:pPr>
    </w:p>
    <w:p w14:paraId="444AF1E9" w14:textId="77777777" w:rsidR="006B40BA" w:rsidRPr="006B40BA" w:rsidRDefault="006B40BA" w:rsidP="006B40BA">
      <w:pPr>
        <w:rPr>
          <w:lang w:eastAsia="uk-UA"/>
        </w:rPr>
      </w:pPr>
    </w:p>
    <w:p w14:paraId="5278A930" w14:textId="77777777" w:rsidR="006B40BA" w:rsidRPr="006B40BA" w:rsidRDefault="006B40BA" w:rsidP="006B40BA">
      <w:pPr>
        <w:rPr>
          <w:lang w:eastAsia="uk-UA"/>
        </w:rPr>
      </w:pPr>
    </w:p>
    <w:p w14:paraId="567AB15D" w14:textId="77777777" w:rsidR="006B40BA" w:rsidRPr="006B40BA" w:rsidRDefault="006B40BA" w:rsidP="006B40BA">
      <w:pPr>
        <w:rPr>
          <w:lang w:eastAsia="uk-UA"/>
        </w:rPr>
      </w:pPr>
    </w:p>
    <w:p w14:paraId="76FFD212" w14:textId="77777777" w:rsidR="006B40BA" w:rsidRPr="006B40BA" w:rsidRDefault="006B40BA" w:rsidP="006B40BA">
      <w:pPr>
        <w:rPr>
          <w:lang w:eastAsia="uk-UA"/>
        </w:rPr>
      </w:pPr>
    </w:p>
    <w:p w14:paraId="3E659FD3" w14:textId="77777777" w:rsidR="006B40BA" w:rsidRPr="006B40BA" w:rsidRDefault="006B40BA" w:rsidP="006B40BA">
      <w:pPr>
        <w:rPr>
          <w:lang w:eastAsia="uk-UA"/>
        </w:rPr>
      </w:pPr>
    </w:p>
    <w:p w14:paraId="377B1702" w14:textId="77777777" w:rsidR="006B40BA" w:rsidRPr="006B40BA" w:rsidRDefault="006B40BA" w:rsidP="006B40BA">
      <w:pPr>
        <w:rPr>
          <w:lang w:eastAsia="uk-UA"/>
        </w:rPr>
      </w:pPr>
    </w:p>
    <w:p w14:paraId="7B9204D1" w14:textId="77777777" w:rsidR="006B40BA" w:rsidRPr="006B40BA" w:rsidRDefault="006B40BA" w:rsidP="006B40BA">
      <w:pPr>
        <w:rPr>
          <w:lang w:eastAsia="uk-UA"/>
        </w:rPr>
      </w:pPr>
    </w:p>
    <w:p w14:paraId="5E410287" w14:textId="77777777" w:rsidR="006B40BA" w:rsidRPr="006B40BA" w:rsidRDefault="006B40BA" w:rsidP="006B40BA">
      <w:pPr>
        <w:rPr>
          <w:lang w:eastAsia="uk-UA"/>
        </w:rPr>
      </w:pPr>
    </w:p>
    <w:p w14:paraId="5F1989F7" w14:textId="77777777" w:rsidR="006B40BA" w:rsidRPr="006B40BA" w:rsidRDefault="006B40BA" w:rsidP="006B40BA">
      <w:pPr>
        <w:rPr>
          <w:lang w:eastAsia="uk-UA"/>
        </w:rPr>
      </w:pPr>
    </w:p>
    <w:p w14:paraId="2464117B" w14:textId="77777777" w:rsidR="006B40BA" w:rsidRPr="006B40BA" w:rsidRDefault="006B40BA" w:rsidP="006B40BA">
      <w:pPr>
        <w:rPr>
          <w:lang w:eastAsia="uk-UA"/>
        </w:rPr>
      </w:pPr>
    </w:p>
    <w:p w14:paraId="3B15F552" w14:textId="77777777" w:rsidR="006B40BA" w:rsidRPr="006B40BA" w:rsidRDefault="006B40BA" w:rsidP="006B40BA">
      <w:pPr>
        <w:rPr>
          <w:lang w:eastAsia="uk-UA"/>
        </w:rPr>
      </w:pPr>
    </w:p>
    <w:p w14:paraId="113B6152" w14:textId="77777777" w:rsidR="006B40BA" w:rsidRPr="006B40BA" w:rsidRDefault="006B40BA" w:rsidP="006B40BA">
      <w:pPr>
        <w:rPr>
          <w:lang w:eastAsia="uk-UA"/>
        </w:rPr>
      </w:pPr>
    </w:p>
    <w:p w14:paraId="6919F029" w14:textId="77777777" w:rsidR="006B40BA" w:rsidRPr="006B40BA" w:rsidRDefault="006B40BA" w:rsidP="006B40BA">
      <w:pPr>
        <w:rPr>
          <w:lang w:eastAsia="uk-UA"/>
        </w:rPr>
      </w:pPr>
    </w:p>
    <w:p w14:paraId="038C37B5" w14:textId="77777777" w:rsidR="006B40BA" w:rsidRPr="006B40BA" w:rsidRDefault="006B40BA" w:rsidP="006B40BA">
      <w:pPr>
        <w:rPr>
          <w:lang w:eastAsia="uk-UA"/>
        </w:rPr>
      </w:pPr>
    </w:p>
    <w:p w14:paraId="382A03C3" w14:textId="77777777" w:rsidR="006B40BA" w:rsidRPr="006B40BA" w:rsidRDefault="006B40BA" w:rsidP="006B40BA">
      <w:pPr>
        <w:rPr>
          <w:lang w:eastAsia="uk-UA"/>
        </w:rPr>
      </w:pPr>
    </w:p>
    <w:p w14:paraId="117A1375" w14:textId="77777777" w:rsidR="006B40BA" w:rsidRDefault="006B40BA" w:rsidP="006B40BA">
      <w:pPr>
        <w:pStyle w:val="Default"/>
        <w:spacing w:line="360" w:lineRule="auto"/>
        <w:jc w:val="center"/>
        <w:rPr>
          <w:rFonts w:ascii="Century" w:hAnsi="Century"/>
          <w:b/>
          <w:sz w:val="28"/>
          <w:szCs w:val="28"/>
        </w:rPr>
      </w:pPr>
    </w:p>
    <w:p w14:paraId="7773CCFE" w14:textId="54708396" w:rsidR="006B40BA" w:rsidRDefault="006B40BA" w:rsidP="006B40BA">
      <w:pPr>
        <w:pStyle w:val="Default"/>
        <w:spacing w:line="360" w:lineRule="auto"/>
        <w:jc w:val="center"/>
        <w:rPr>
          <w:rFonts w:ascii="Century" w:hAnsi="Century"/>
          <w:b/>
          <w:sz w:val="28"/>
          <w:szCs w:val="28"/>
        </w:rPr>
      </w:pPr>
      <w:r>
        <w:rPr>
          <w:rFonts w:ascii="Century" w:hAnsi="Century"/>
          <w:b/>
          <w:sz w:val="28"/>
          <w:szCs w:val="28"/>
        </w:rPr>
        <w:t>м. Городок</w:t>
      </w:r>
    </w:p>
    <w:p w14:paraId="36997528" w14:textId="5185D84D" w:rsidR="006B40BA" w:rsidRPr="006B40BA" w:rsidRDefault="006B40BA" w:rsidP="006B40BA">
      <w:pPr>
        <w:pStyle w:val="Default"/>
        <w:spacing w:line="360" w:lineRule="auto"/>
        <w:jc w:val="center"/>
        <w:rPr>
          <w:rFonts w:ascii="Century" w:hAnsi="Century"/>
          <w:b/>
          <w:sz w:val="28"/>
          <w:szCs w:val="28"/>
        </w:rPr>
      </w:pPr>
      <w:r w:rsidRPr="006B40BA">
        <w:rPr>
          <w:rFonts w:ascii="Century" w:hAnsi="Century"/>
          <w:b/>
          <w:sz w:val="28"/>
          <w:szCs w:val="28"/>
        </w:rPr>
        <w:lastRenderedPageBreak/>
        <w:t>І.ПРОГРАМА</w:t>
      </w:r>
    </w:p>
    <w:p w14:paraId="383054A7" w14:textId="77777777" w:rsidR="006B40BA" w:rsidRPr="006B40BA" w:rsidRDefault="006B40BA" w:rsidP="006B40BA">
      <w:pPr>
        <w:pStyle w:val="Default"/>
        <w:jc w:val="center"/>
        <w:rPr>
          <w:rFonts w:ascii="Century" w:hAnsi="Century"/>
          <w:b/>
          <w:sz w:val="28"/>
          <w:szCs w:val="28"/>
        </w:rPr>
      </w:pPr>
      <w:r w:rsidRPr="006B40BA">
        <w:rPr>
          <w:rFonts w:ascii="Century" w:hAnsi="Century"/>
          <w:b/>
          <w:sz w:val="28"/>
          <w:szCs w:val="28"/>
        </w:rPr>
        <w:t>пожежної та техногенної безпеки</w:t>
      </w:r>
    </w:p>
    <w:p w14:paraId="312C4B55"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Аналіз тенденцій розвитку техногенних аварій, катастроф і стихійних лих, прогноз можливих небезпек показує, що на території Городоцького ОТГ зберігається високий ступінь ризику виникнення надзвичайних ситуацій техногенного та природного характеру. Це пояснюється збільшенням антропогенного впливу на навколишнє середовище. Небезпеки і загрози сьогодні носять більш комплексний, взаємозв’язаний характер. Антропогенна діяльність веде до збільшення ризику виникнення надзвичайних ситуацій техногенного та природного характеру. Загрози стають джерелом надзвичайних ситуацій у різних сферах життєдіяльності та постійно збільшуються їх масштаби. В останні роки все частіше виникають надзвичайні ситуації специфічного характеру, до яких відносяться катастрофи, аварії та пожежі на промислових об’єктах та пожежі в екосистемах (горіння торфу, сухої трави, лісових масивів).</w:t>
      </w:r>
    </w:p>
    <w:p w14:paraId="0B52CC5B"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З урахуванням цього, стратегічним напрямком розвитку 15 ДПРЧ 10 ДПРЗ ГУ ДСНС України у Львівській області повинна стати організація інфраструктури сучасного суспільного функціонування, адаптована до проблем безпеки людини і суспільства, яка має вирішуватися в рамках єдиної державної стратегії сталого безпечного розвитку.</w:t>
      </w:r>
    </w:p>
    <w:p w14:paraId="027675AF" w14:textId="77777777" w:rsidR="006B40BA" w:rsidRPr="006B40BA" w:rsidRDefault="006B40BA" w:rsidP="006B40BA">
      <w:pPr>
        <w:pStyle w:val="Default"/>
        <w:jc w:val="center"/>
        <w:rPr>
          <w:rFonts w:ascii="Century" w:hAnsi="Century"/>
          <w:b/>
          <w:sz w:val="28"/>
          <w:szCs w:val="28"/>
        </w:rPr>
      </w:pPr>
      <w:r w:rsidRPr="006B40BA">
        <w:rPr>
          <w:rFonts w:ascii="Century" w:hAnsi="Century"/>
          <w:b/>
          <w:sz w:val="28"/>
          <w:szCs w:val="28"/>
        </w:rPr>
        <w:t>II. Мета розроблення програми</w:t>
      </w:r>
    </w:p>
    <w:p w14:paraId="158D7E03"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Метою розроблення даної програми є забезпечення гарантованого захисту життя, здоров’я людей, земельного, водного, повітряного простору відповідних територій, об’єктів виробничого і соціального призначення. Придбання аварійно - рятувального, пожежного обладнання, зміцнення матеріально-технічної бази підрозділу, , паливо-мастильних матеріалів, автозапчастин, які забезпечать успіх проведення аварійно-рятувальних, відновлювальних, невідкладних першочергових заходів, надання допомоги при ДТП.</w:t>
      </w:r>
    </w:p>
    <w:p w14:paraId="7027FED9"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III. Замовник програми</w:t>
      </w:r>
    </w:p>
    <w:p w14:paraId="4968BFCB"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Замовником програми забезпечення пожежної та техногенної безпеки Городоцької ОТГ, виступає 10 ДПРЗ ГУ ДСНС України у Львівській області.</w:t>
      </w:r>
    </w:p>
    <w:p w14:paraId="5292BD6A" w14:textId="77777777" w:rsidR="006B40BA" w:rsidRPr="006B40BA" w:rsidRDefault="006B40BA" w:rsidP="006B40BA">
      <w:pPr>
        <w:pStyle w:val="Default"/>
        <w:jc w:val="center"/>
        <w:rPr>
          <w:rFonts w:ascii="Century" w:hAnsi="Century"/>
          <w:b/>
          <w:sz w:val="28"/>
          <w:szCs w:val="28"/>
        </w:rPr>
      </w:pPr>
      <w:r w:rsidRPr="006B40BA">
        <w:rPr>
          <w:rFonts w:ascii="Century" w:hAnsi="Century"/>
          <w:b/>
          <w:sz w:val="28"/>
          <w:szCs w:val="28"/>
        </w:rPr>
        <w:t>IV. Обґрунтування доцільності її розроблення</w:t>
      </w:r>
    </w:p>
    <w:p w14:paraId="62797036"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Городоцька ОТГ розташована в західній частині Львівської області і межує: на півночі - з Яворівським районом, на сході - з Львівським районом, на південному сході - з Миколаївським ОТГ, на півдні - з Дрогобицьким районом.</w:t>
      </w:r>
    </w:p>
    <w:p w14:paraId="67D2A640"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 xml:space="preserve">Городоцька ОТГ займає значну територію, яка поєднує в собі значні поклади торфу, розташування лісу, проходження трас Львів-Шегині </w:t>
      </w:r>
      <w:r w:rsidRPr="006B40BA">
        <w:rPr>
          <w:rFonts w:ascii="Century" w:hAnsi="Century"/>
          <w:bCs/>
          <w:sz w:val="28"/>
          <w:szCs w:val="28"/>
        </w:rPr>
        <w:lastRenderedPageBreak/>
        <w:t>та Львів - Самбір на яких часто вникають ДТП де рятувальні підрозділи надають допомогу та рятують потерпілих.</w:t>
      </w:r>
    </w:p>
    <w:p w14:paraId="1740CEE7"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Особливості фізико-географічних умов Городоцької ОТГ: створюють складну техногенно-екологічну обстановку, що може призвести до виникнення практично усіх видів аварій, катастроф, та стихійних лих, у тому числі:</w:t>
      </w:r>
    </w:p>
    <w:p w14:paraId="2C4E2BBE"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ураження територій РР, СДОР, ВР при транспортуванні автотрасами Львів -</w:t>
      </w:r>
    </w:p>
    <w:p w14:paraId="4DF0D7DD"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Шегині, Львів-Самбір;</w:t>
      </w:r>
    </w:p>
    <w:p w14:paraId="2B9609D6"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масових лісових і торф'яних пожеж;</w:t>
      </w:r>
    </w:p>
    <w:p w14:paraId="36041456"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2</w:t>
      </w:r>
    </w:p>
    <w:p w14:paraId="558CE68E"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можливих землетрусів силою до 5 балів; зсувів і селів; карстопровальних явищ;</w:t>
      </w:r>
    </w:p>
    <w:p w14:paraId="1975C216"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ураганних вітрів з поривами до 35-40 м/сек. (ураганні вітри можуть виникнути 1-2 рази в рік (щорічно);</w:t>
      </w:r>
    </w:p>
    <w:p w14:paraId="55A37A11"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паводки і повені внаслідок сильних опадів або інтенсивного танення снігу; підтоплень;</w:t>
      </w:r>
    </w:p>
    <w:p w14:paraId="7B8EC13A"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снігових заметів автодоріг.</w:t>
      </w:r>
    </w:p>
    <w:p w14:paraId="2E97D338"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Територія ОТГ вкрита лісовими масивами і торфополями (с. Бартатів, Родатичі, Лісновичі, Мшана, Артищів, Братковичі, Повітно).</w:t>
      </w:r>
    </w:p>
    <w:p w14:paraId="118EDCA5"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Протягом 2022 року на території Городоцької ОТГ здійснено виїздів лише на пожежі в екосистемі понад 65 раз , окрім того виникли двадцяць пожеж в приватному господарстві, три на транспорті та вісім виїздів на ДТП.</w:t>
      </w:r>
    </w:p>
    <w:p w14:paraId="30B35C7E"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Лісові масиви і торфополя розташовані від населених пунктів на віддалях 100 м. і менше, що не створює надійний захист проти розповсюдження пожеж, тому населеним пунктам району є загрози від масових торф’яних і лісових пожеж також на території ОТГ розміщено табори відпочинку . Дані об’єкти безпосередньо біля лісу, тому існує певна загроза від лісових пожеж.</w:t>
      </w:r>
    </w:p>
    <w:p w14:paraId="6BF00A3D"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Найбільш потенційно-небезпечними об’єктами техногенного характеру на території Городоцької ОТГ є:</w:t>
      </w:r>
    </w:p>
    <w:p w14:paraId="72C5B666"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Насосна станція «Будзинь-2», де зберігається хлор. У випадку виникнення НС максимальний радіус дії хлору - 1,5 км. У такому випадку евакуації підлягає близько 105 чол. н.п Городка.</w:t>
      </w:r>
    </w:p>
    <w:p w14:paraId="25F36B28"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Найбільш небезпечною може бути аварія з розливом легкозаймистих речовин та їх горіння. В можливу зону дії негативних наслідків аварії можуть попасти житлові будинки м. Городок .</w:t>
      </w:r>
    </w:p>
    <w:p w14:paraId="06629A01"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Згідно діючого сейсморайонування на території ОТГ прогнозуються землетруси з максимальною інтенсивністю до 5 балів по шкалі MSK-64.</w:t>
      </w:r>
    </w:p>
    <w:p w14:paraId="0FBABBE2"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lastRenderedPageBreak/>
        <w:t>На територіях з прогнозованою інтенсивністю землетрусу 5 балів можливі окремі руйнування аварійних та ветхих будинків, з яких необхідно відселяти людей.</w:t>
      </w:r>
    </w:p>
    <w:p w14:paraId="09C68454" w14:textId="5204EA6E"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Режим рік ТГ характеризується незначним формуванням весняної повені, льодоходу і ймовірністю формуванні дощових паводків.</w:t>
      </w:r>
    </w:p>
    <w:p w14:paraId="1FCF38F9"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Весняна повінь може нанести суттєві збитки народному господарству тільки після холодної та багатосніжної зими, при умовах дружньої і вологої весни. Найбільш ймовірні розливи рік Верещиця, Дністер, Вишенька.</w:t>
      </w:r>
    </w:p>
    <w:p w14:paraId="6BC9739C"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Затори льоду, які формуються на ділянках з порушеною пропускною здатністю русла, можуть призвести до додаткового підйому і розливу води у ріках, затопленню прилеглої території.</w:t>
      </w:r>
    </w:p>
    <w:p w14:paraId="2A6508A1" w14:textId="4196D20C"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Серйозну проблему для ТГ створюють паводки, особливо вздовж річок Дністер, Верещиця, Вишенька, які призводять до підтоплення жилих та господарських будівель.</w:t>
      </w:r>
    </w:p>
    <w:p w14:paraId="4D247F15" w14:textId="6AE9F255"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Дощові паводки формуються на річках району цілий рік, основним чинником дощового паводку є сильні зливи, або дуже затяжні дощі. Так внаслідок сильних та дуже сильних дощів у період з 22 по 26.07.08 ( 148 - 184% місячної норми опадів) у басейні ріки Дністер на території Монастирецької сільської ради Городоцького району Львівської області сформувався та пройшов катастрофічний дощовий</w:t>
      </w:r>
      <w:r>
        <w:rPr>
          <w:rFonts w:ascii="Century" w:hAnsi="Century"/>
          <w:bCs/>
          <w:sz w:val="28"/>
          <w:szCs w:val="28"/>
        </w:rPr>
        <w:t xml:space="preserve"> </w:t>
      </w:r>
      <w:r w:rsidRPr="006B40BA">
        <w:rPr>
          <w:rFonts w:ascii="Century" w:hAnsi="Century"/>
          <w:bCs/>
          <w:sz w:val="28"/>
          <w:szCs w:val="28"/>
        </w:rPr>
        <w:t>з</w:t>
      </w:r>
    </w:p>
    <w:p w14:paraId="0C2C3235"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паводок, який заподіяв значної шкоди населенню, об’єктам народного господарства, які розташовані на території с. Монастирець, а саме було підтоплений 1 населений пункт де було 141 житлових будинків та 94 криниці, окрім цього було підтоплено, зруйновано та пошкоджено:</w:t>
      </w:r>
    </w:p>
    <w:p w14:paraId="168ED793"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автомобільну дорогу довжиною -5,8 км, яка з’єднує населений пункт Монастирець із населеним пунктом Тершаків;</w:t>
      </w:r>
    </w:p>
    <w:p w14:paraId="00F0DE59"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автомобільну дорогу довжиною 900м яка з’єднує населений пункт Мости із населеним пунктом Волоща Дрогобицького району ; пошкоджено автомобільний міст на р. Дністер в с. Монастирець;</w:t>
      </w:r>
    </w:p>
    <w:p w14:paraId="338EBBCC"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пішохідний перехід, який з’єднує населений пункт с. Тершаків із населеним пунктом Повергів Миколаївського району;</w:t>
      </w:r>
    </w:p>
    <w:p w14:paraId="05C7552F"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15.05.2010 року внаслідок випадання великої кількості опадів (90-111% від місячної норми) відбулося підняття рівня води на річках, рівнів ґрунтових вод на території Городоцького ОТГ в результаті чого в м. Городку підтоплено 9 підвалів житлових будинків, 9 присадибних ділянок, шість торгових павільйонів на речовому ринку.</w:t>
      </w:r>
    </w:p>
    <w:p w14:paraId="4B1BA369" w14:textId="77777777" w:rsidR="006B40BA" w:rsidRPr="006B40BA" w:rsidRDefault="006B40BA" w:rsidP="006B40BA">
      <w:pPr>
        <w:pStyle w:val="Default"/>
        <w:jc w:val="both"/>
        <w:rPr>
          <w:rFonts w:ascii="Century" w:hAnsi="Century"/>
          <w:bCs/>
          <w:sz w:val="28"/>
          <w:szCs w:val="28"/>
        </w:rPr>
      </w:pPr>
      <w:r w:rsidRPr="006B40BA">
        <w:rPr>
          <w:rFonts w:ascii="Century" w:hAnsi="Century"/>
          <w:bCs/>
          <w:sz w:val="28"/>
          <w:szCs w:val="28"/>
        </w:rPr>
        <w:t>У зв’язку з частим утворенням циклонів на території ОТГ виникають ураганні вітри швидкістю до 35-40 м/сек. В результаті чого можуть бути зруйновані лінії електропередач, трансформаторні підстанції, опори ЛЕП і повітряні лінії зв’язку, житлові споруди, можуть утворюватися завали на дорогах і виникати пожежі на об’єктах господарювань.</w:t>
      </w:r>
    </w:p>
    <w:p w14:paraId="7E58BF3B"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lastRenderedPageBreak/>
        <w:t>По досвіду спостереження за останні 25-30 років ураганні вітри можуть виникнути 1-2 рази в рік.</w:t>
      </w:r>
    </w:p>
    <w:p w14:paraId="2DAD38EA"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Поряд з цим, на території ОТГ систематично виникали некласифіковані події, які потребували певних зусиль та затрат. Окрім цього здійснюється робота , щодо ідентифікації вибухово-небезпечних предметів.</w:t>
      </w:r>
    </w:p>
    <w:p w14:paraId="696D33DC"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Головним показником якості спільної роботи усіх тих, хто причетний до виконання завдань захисту населення Городоцької ОТГ є зменшення надзвичайних ситуацій та небезпечних подій.</w:t>
      </w:r>
    </w:p>
    <w:p w14:paraId="1D6B6A5F"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Практичний досвід підтверджує те, що запобігти чи значно зменшити наслідки НС можливо тільки при наявності рятувального обладнання та спорядження, резервів паливо-мастильних матеріалів.</w:t>
      </w:r>
    </w:p>
    <w:p w14:paraId="3CDC841F" w14:textId="77777777" w:rsidR="006B40BA" w:rsidRPr="006B40BA" w:rsidRDefault="006B40BA" w:rsidP="006B40BA">
      <w:pPr>
        <w:pStyle w:val="Default"/>
        <w:rPr>
          <w:rFonts w:ascii="Century" w:hAnsi="Century"/>
          <w:bCs/>
          <w:sz w:val="28"/>
          <w:szCs w:val="28"/>
        </w:rPr>
      </w:pPr>
      <w:r w:rsidRPr="006B40BA">
        <w:rPr>
          <w:rFonts w:ascii="Century" w:hAnsi="Century"/>
          <w:bCs/>
          <w:sz w:val="28"/>
          <w:szCs w:val="28"/>
        </w:rPr>
        <w:t>З аналізу вищенаведеної інформації можна зробити висновок, що за наявності розвиненої різноманітної промисловості, у тому числі з небезпечними видами виробництва, значної кількості транспортних комунікацій, а також стану виробничого, житлово-комунального фонду та водопровідно-каналізаційного господарства, ступінь зносу якого у багатьох випадках досить велика, на території ОТГ створюється дуже складна техногенно - екологічна ситуація. Вона може призвести до виникнення практично усіх видів аварій, катастроф з виходом з ладу систем життєзабезпечення та життєдіяльності населення.</w:t>
      </w:r>
    </w:p>
    <w:p w14:paraId="0EC3CFA8" w14:textId="77777777" w:rsidR="006B40BA" w:rsidRDefault="006B40BA" w:rsidP="006B40BA">
      <w:pPr>
        <w:pStyle w:val="Default"/>
        <w:rPr>
          <w:rFonts w:ascii="Century" w:hAnsi="Century"/>
          <w:bCs/>
          <w:sz w:val="28"/>
          <w:szCs w:val="28"/>
        </w:rPr>
      </w:pPr>
      <w:r w:rsidRPr="006B40BA">
        <w:rPr>
          <w:rFonts w:ascii="Century" w:hAnsi="Century"/>
          <w:bCs/>
          <w:sz w:val="28"/>
          <w:szCs w:val="28"/>
        </w:rPr>
        <w:t>Враховуючи досвід проведення першочергових аварійно-рятувальних робіт, оперативного реагування на надзвичайні ситуації та небезпечні події, зупинку розвитку надзвичайної ситуації та небезпечної події на початковій стадії тільки є можливим за умов втілення в життя даної програми і підтримки боєздатності підрозділу ДСНС на території Городоцької ОТГ.</w:t>
      </w:r>
    </w:p>
    <w:p w14:paraId="3120437A" w14:textId="77777777" w:rsidR="006B40BA" w:rsidRDefault="006B40BA" w:rsidP="006B40BA">
      <w:pPr>
        <w:pStyle w:val="Default"/>
        <w:rPr>
          <w:rFonts w:ascii="Century" w:hAnsi="Century"/>
          <w:bCs/>
          <w:sz w:val="28"/>
          <w:szCs w:val="28"/>
        </w:rPr>
      </w:pPr>
    </w:p>
    <w:p w14:paraId="7BEA61B1" w14:textId="77777777" w:rsidR="006B40BA" w:rsidRDefault="006B40BA" w:rsidP="006B40BA">
      <w:pPr>
        <w:pStyle w:val="Default"/>
        <w:rPr>
          <w:rFonts w:ascii="Century" w:hAnsi="Century"/>
          <w:b/>
          <w:sz w:val="28"/>
          <w:szCs w:val="28"/>
        </w:rPr>
      </w:pPr>
    </w:p>
    <w:p w14:paraId="06BBA361" w14:textId="77777777" w:rsidR="006B40BA" w:rsidRDefault="006B40BA" w:rsidP="006B40BA">
      <w:pPr>
        <w:pStyle w:val="Default"/>
        <w:rPr>
          <w:rFonts w:ascii="Century" w:hAnsi="Century"/>
          <w:b/>
          <w:sz w:val="28"/>
          <w:szCs w:val="28"/>
        </w:rPr>
      </w:pPr>
    </w:p>
    <w:p w14:paraId="69F5C3CD" w14:textId="77777777" w:rsidR="006B40BA" w:rsidRDefault="006B40BA" w:rsidP="006B40BA">
      <w:pPr>
        <w:pStyle w:val="Default"/>
        <w:rPr>
          <w:rFonts w:ascii="Century" w:hAnsi="Century"/>
          <w:b/>
          <w:sz w:val="28"/>
          <w:szCs w:val="28"/>
        </w:rPr>
      </w:pPr>
    </w:p>
    <w:p w14:paraId="75323D97" w14:textId="677761F4" w:rsidR="00D712EF" w:rsidRPr="006B40BA" w:rsidRDefault="006B40BA" w:rsidP="006B40BA">
      <w:pPr>
        <w:pStyle w:val="Default"/>
        <w:rPr>
          <w:rFonts w:ascii="Century" w:hAnsi="Century"/>
          <w:b/>
        </w:rPr>
      </w:pPr>
      <w:r w:rsidRPr="006B40BA">
        <w:rPr>
          <w:rFonts w:ascii="Century" w:hAnsi="Century"/>
          <w:b/>
          <w:sz w:val="28"/>
          <w:szCs w:val="28"/>
        </w:rPr>
        <w:t>Секретар ради</w:t>
      </w:r>
      <w:r w:rsidRPr="006B40BA">
        <w:rPr>
          <w:rFonts w:ascii="Century" w:hAnsi="Century"/>
          <w:b/>
          <w:sz w:val="28"/>
          <w:szCs w:val="28"/>
        </w:rPr>
        <w:tab/>
      </w:r>
      <w:r w:rsidRPr="006B40BA">
        <w:rPr>
          <w:rFonts w:ascii="Century" w:hAnsi="Century"/>
          <w:b/>
          <w:sz w:val="28"/>
          <w:szCs w:val="28"/>
        </w:rPr>
        <w:tab/>
      </w:r>
      <w:r w:rsidRPr="006B40BA">
        <w:rPr>
          <w:rFonts w:ascii="Century" w:hAnsi="Century"/>
          <w:b/>
          <w:sz w:val="28"/>
          <w:szCs w:val="28"/>
        </w:rPr>
        <w:tab/>
      </w:r>
      <w:r w:rsidRPr="006B40BA">
        <w:rPr>
          <w:rFonts w:ascii="Century" w:hAnsi="Century"/>
          <w:b/>
          <w:sz w:val="28"/>
          <w:szCs w:val="28"/>
        </w:rPr>
        <w:tab/>
      </w:r>
      <w:r w:rsidRPr="006B40BA">
        <w:rPr>
          <w:rFonts w:ascii="Century" w:hAnsi="Century"/>
          <w:b/>
          <w:sz w:val="28"/>
          <w:szCs w:val="28"/>
        </w:rPr>
        <w:tab/>
      </w:r>
      <w:r w:rsidRPr="006B40BA">
        <w:rPr>
          <w:rFonts w:ascii="Century" w:hAnsi="Century"/>
          <w:b/>
          <w:sz w:val="28"/>
          <w:szCs w:val="28"/>
        </w:rPr>
        <w:tab/>
      </w:r>
      <w:r w:rsidRPr="006B40BA">
        <w:rPr>
          <w:rFonts w:ascii="Century" w:hAnsi="Century"/>
          <w:b/>
          <w:sz w:val="28"/>
          <w:szCs w:val="28"/>
        </w:rPr>
        <w:tab/>
      </w:r>
      <w:r w:rsidRPr="006B40BA">
        <w:rPr>
          <w:rFonts w:ascii="Century" w:hAnsi="Century"/>
          <w:b/>
          <w:sz w:val="28"/>
          <w:szCs w:val="28"/>
        </w:rPr>
        <w:tab/>
        <w:t xml:space="preserve">     Микола ЛУПІЙ</w:t>
      </w:r>
      <w:r w:rsidRPr="006B40BA">
        <w:rPr>
          <w:rFonts w:ascii="Century" w:hAnsi="Century"/>
          <w:b/>
          <w:sz w:val="28"/>
          <w:szCs w:val="28"/>
        </w:rPr>
        <w:br w:type="page"/>
      </w:r>
    </w:p>
    <w:p w14:paraId="2371CABD" w14:textId="77777777" w:rsidR="00D712EF" w:rsidRPr="00D712EF" w:rsidRDefault="00D712EF" w:rsidP="00D712EF">
      <w:pPr>
        <w:pStyle w:val="Default"/>
        <w:rPr>
          <w:rFonts w:ascii="Century" w:hAnsi="Century"/>
          <w:color w:val="auto"/>
        </w:rPr>
      </w:pPr>
    </w:p>
    <w:p w14:paraId="5F7B6909" w14:textId="77777777" w:rsidR="00D712EF" w:rsidRPr="00D712EF" w:rsidRDefault="00D712EF" w:rsidP="00D712EF">
      <w:pPr>
        <w:pStyle w:val="Default"/>
        <w:jc w:val="center"/>
        <w:rPr>
          <w:rFonts w:ascii="Century" w:hAnsi="Century"/>
          <w:color w:val="auto"/>
          <w:sz w:val="36"/>
          <w:szCs w:val="36"/>
        </w:rPr>
      </w:pPr>
      <w:r w:rsidRPr="00D712EF">
        <w:rPr>
          <w:rFonts w:ascii="Century" w:hAnsi="Century"/>
          <w:b/>
          <w:bCs/>
          <w:color w:val="auto"/>
          <w:sz w:val="36"/>
          <w:szCs w:val="36"/>
        </w:rPr>
        <w:t>Паспорт</w:t>
      </w:r>
    </w:p>
    <w:p w14:paraId="1C7956D6" w14:textId="77777777" w:rsidR="00D712EF" w:rsidRPr="00D712EF" w:rsidRDefault="00D712EF" w:rsidP="00D712EF">
      <w:pPr>
        <w:pStyle w:val="Default"/>
        <w:jc w:val="center"/>
        <w:rPr>
          <w:rFonts w:ascii="Century" w:hAnsi="Century"/>
          <w:color w:val="auto"/>
          <w:sz w:val="28"/>
          <w:szCs w:val="28"/>
        </w:rPr>
      </w:pPr>
      <w:r w:rsidRPr="00D712EF">
        <w:rPr>
          <w:rFonts w:ascii="Century" w:hAnsi="Century"/>
          <w:b/>
          <w:bCs/>
          <w:color w:val="auto"/>
          <w:sz w:val="28"/>
          <w:szCs w:val="28"/>
        </w:rPr>
        <w:t>цільової програми</w:t>
      </w:r>
    </w:p>
    <w:p w14:paraId="76051E0A" w14:textId="77777777" w:rsidR="00D712EF" w:rsidRPr="00D712EF" w:rsidRDefault="00D712EF" w:rsidP="00D712EF">
      <w:pPr>
        <w:pStyle w:val="Default"/>
        <w:rPr>
          <w:rFonts w:ascii="Century" w:hAnsi="Century"/>
          <w:color w:val="auto"/>
          <w:sz w:val="28"/>
          <w:szCs w:val="28"/>
        </w:rPr>
      </w:pPr>
      <w:r w:rsidRPr="00D712EF">
        <w:rPr>
          <w:rFonts w:ascii="Century" w:hAnsi="Century"/>
          <w:color w:val="auto"/>
          <w:sz w:val="23"/>
          <w:szCs w:val="23"/>
        </w:rPr>
        <w:t>1</w:t>
      </w:r>
      <w:r w:rsidRPr="00D712EF">
        <w:rPr>
          <w:rFonts w:ascii="Century" w:hAnsi="Century"/>
          <w:color w:val="auto"/>
          <w:sz w:val="28"/>
          <w:szCs w:val="28"/>
        </w:rPr>
        <w:t xml:space="preserve">. </w:t>
      </w:r>
      <w:r w:rsidRPr="00D712EF">
        <w:rPr>
          <w:rFonts w:ascii="Century" w:hAnsi="Century"/>
          <w:b/>
          <w:bCs/>
          <w:color w:val="auto"/>
          <w:sz w:val="28"/>
          <w:szCs w:val="28"/>
        </w:rPr>
        <w:t>Назва</w:t>
      </w:r>
      <w:r w:rsidRPr="00D712EF">
        <w:rPr>
          <w:rFonts w:ascii="Century" w:hAnsi="Century"/>
          <w:color w:val="auto"/>
          <w:sz w:val="28"/>
          <w:szCs w:val="28"/>
        </w:rPr>
        <w:t xml:space="preserve"> </w:t>
      </w:r>
      <w:r w:rsidRPr="00D712EF">
        <w:rPr>
          <w:rFonts w:ascii="Century" w:hAnsi="Century"/>
          <w:i/>
          <w:iCs/>
          <w:color w:val="auto"/>
          <w:sz w:val="28"/>
          <w:szCs w:val="28"/>
        </w:rPr>
        <w:t>Програма забезпечення пожежної та техногенної безпеки Городоиької ОТГ</w:t>
      </w:r>
      <w:r w:rsidRPr="00D712EF">
        <w:rPr>
          <w:rFonts w:ascii="Century" w:hAnsi="Century"/>
          <w:color w:val="auto"/>
          <w:sz w:val="28"/>
          <w:szCs w:val="28"/>
        </w:rPr>
        <w:t xml:space="preserve">' </w:t>
      </w:r>
      <w:r w:rsidRPr="00D712EF">
        <w:rPr>
          <w:rFonts w:ascii="Century" w:hAnsi="Century"/>
          <w:i/>
          <w:iCs/>
          <w:color w:val="auto"/>
          <w:sz w:val="28"/>
          <w:szCs w:val="28"/>
        </w:rPr>
        <w:t xml:space="preserve">направлена на забезпечення функціонування 15 Державної пожежно- рятувальної частини 10 Державного пожежно-рятувального загону ГУ ДСНС України </w:t>
      </w:r>
      <w:r w:rsidRPr="00D712EF">
        <w:rPr>
          <w:rFonts w:ascii="Century" w:hAnsi="Century"/>
          <w:color w:val="auto"/>
          <w:sz w:val="28"/>
          <w:szCs w:val="28"/>
        </w:rPr>
        <w:t xml:space="preserve">у </w:t>
      </w:r>
      <w:r w:rsidRPr="00D712EF">
        <w:rPr>
          <w:rFonts w:ascii="Century" w:hAnsi="Century"/>
          <w:i/>
          <w:iCs/>
          <w:color w:val="auto"/>
          <w:sz w:val="28"/>
          <w:szCs w:val="28"/>
        </w:rPr>
        <w:t>Львівській області на 2023 р.</w:t>
      </w:r>
    </w:p>
    <w:p w14:paraId="3D5E5EB8" w14:textId="77777777" w:rsidR="00D712EF" w:rsidRPr="00D712EF" w:rsidRDefault="00D712EF" w:rsidP="00D712EF">
      <w:pPr>
        <w:pStyle w:val="Default"/>
        <w:rPr>
          <w:rFonts w:ascii="Century" w:hAnsi="Century"/>
          <w:color w:val="auto"/>
          <w:sz w:val="28"/>
          <w:szCs w:val="28"/>
        </w:rPr>
      </w:pPr>
      <w:r w:rsidRPr="00D712EF">
        <w:rPr>
          <w:rFonts w:ascii="Century" w:hAnsi="Century"/>
          <w:i/>
          <w:iCs/>
          <w:color w:val="auto"/>
          <w:sz w:val="28"/>
          <w:szCs w:val="28"/>
        </w:rPr>
        <w:t xml:space="preserve">2. </w:t>
      </w:r>
      <w:r w:rsidRPr="00D712EF">
        <w:rPr>
          <w:rFonts w:ascii="Century" w:hAnsi="Century"/>
          <w:b/>
          <w:bCs/>
          <w:color w:val="auto"/>
          <w:sz w:val="28"/>
          <w:szCs w:val="28"/>
        </w:rPr>
        <w:t>Замовник</w:t>
      </w:r>
      <w:r w:rsidRPr="00D712EF">
        <w:rPr>
          <w:rFonts w:ascii="Century" w:hAnsi="Century"/>
          <w:color w:val="auto"/>
          <w:sz w:val="28"/>
          <w:szCs w:val="28"/>
        </w:rPr>
        <w:t xml:space="preserve"> </w:t>
      </w:r>
      <w:r w:rsidRPr="00D712EF">
        <w:rPr>
          <w:rFonts w:ascii="Century" w:hAnsi="Century"/>
          <w:i/>
          <w:iCs/>
          <w:color w:val="auto"/>
          <w:sz w:val="28"/>
          <w:szCs w:val="28"/>
        </w:rPr>
        <w:t xml:space="preserve">10 Державний пожежно-рятувальний загін ГУ ДСНС </w:t>
      </w:r>
      <w:r w:rsidRPr="00D712EF">
        <w:rPr>
          <w:rFonts w:ascii="Century" w:hAnsi="Century"/>
          <w:color w:val="auto"/>
          <w:sz w:val="28"/>
          <w:szCs w:val="28"/>
        </w:rPr>
        <w:t xml:space="preserve">у </w:t>
      </w:r>
      <w:r w:rsidRPr="00D712EF">
        <w:rPr>
          <w:rFonts w:ascii="Century" w:hAnsi="Century"/>
          <w:i/>
          <w:iCs/>
          <w:color w:val="auto"/>
          <w:sz w:val="28"/>
          <w:szCs w:val="28"/>
        </w:rPr>
        <w:t>Львівській області</w:t>
      </w:r>
    </w:p>
    <w:p w14:paraId="686480B3" w14:textId="77777777" w:rsidR="00D712EF" w:rsidRPr="00D712EF" w:rsidRDefault="00D712EF" w:rsidP="00D712EF">
      <w:pPr>
        <w:pStyle w:val="Default"/>
        <w:rPr>
          <w:rFonts w:ascii="Century" w:hAnsi="Century"/>
          <w:color w:val="auto"/>
          <w:sz w:val="28"/>
          <w:szCs w:val="28"/>
        </w:rPr>
      </w:pPr>
      <w:r w:rsidRPr="00D712EF">
        <w:rPr>
          <w:rFonts w:ascii="Century" w:hAnsi="Century"/>
          <w:color w:val="auto"/>
          <w:sz w:val="28"/>
          <w:szCs w:val="28"/>
        </w:rPr>
        <w:t xml:space="preserve">3. </w:t>
      </w:r>
      <w:r w:rsidRPr="00D712EF">
        <w:rPr>
          <w:rFonts w:ascii="Century" w:hAnsi="Century"/>
          <w:b/>
          <w:bCs/>
          <w:color w:val="auto"/>
          <w:sz w:val="28"/>
          <w:szCs w:val="28"/>
        </w:rPr>
        <w:t>Мета</w:t>
      </w:r>
      <w:r w:rsidRPr="00D712EF">
        <w:rPr>
          <w:rFonts w:ascii="Century" w:hAnsi="Century"/>
          <w:color w:val="auto"/>
          <w:sz w:val="28"/>
          <w:szCs w:val="28"/>
        </w:rPr>
        <w:t xml:space="preserve"> </w:t>
      </w:r>
      <w:r w:rsidRPr="00D712EF">
        <w:rPr>
          <w:rFonts w:ascii="Century" w:hAnsi="Century"/>
          <w:i/>
          <w:iCs/>
          <w:color w:val="auto"/>
          <w:sz w:val="28"/>
          <w:szCs w:val="28"/>
        </w:rPr>
        <w:t xml:space="preserve">Матеріально технічне забезпечення. Покращення матеріально технічної бази підрозділу 15 ДПРЧ 10 ДПРЗ ГУ ДСНС України у Львівській області для виконання заходів по забезпеченню безпеки громадян під час військового стану </w:t>
      </w:r>
      <w:r w:rsidRPr="00D712EF">
        <w:rPr>
          <w:rFonts w:ascii="Century" w:hAnsi="Century"/>
          <w:color w:val="auto"/>
          <w:sz w:val="28"/>
          <w:szCs w:val="28"/>
        </w:rPr>
        <w:t xml:space="preserve">, </w:t>
      </w:r>
      <w:r w:rsidRPr="00D712EF">
        <w:rPr>
          <w:rFonts w:ascii="Century" w:hAnsi="Century"/>
          <w:i/>
          <w:iCs/>
          <w:color w:val="auto"/>
          <w:sz w:val="28"/>
          <w:szCs w:val="28"/>
        </w:rPr>
        <w:t>здійснення заходів по рятуванню людей</w:t>
      </w:r>
      <w:r w:rsidRPr="00D712EF">
        <w:rPr>
          <w:rFonts w:ascii="Century" w:hAnsi="Century"/>
          <w:color w:val="auto"/>
          <w:sz w:val="28"/>
          <w:szCs w:val="28"/>
        </w:rPr>
        <w:t xml:space="preserve">, </w:t>
      </w:r>
      <w:r w:rsidRPr="00D712EF">
        <w:rPr>
          <w:rFonts w:ascii="Century" w:hAnsi="Century"/>
          <w:i/>
          <w:iCs/>
          <w:color w:val="auto"/>
          <w:sz w:val="28"/>
          <w:szCs w:val="28"/>
        </w:rPr>
        <w:t>гасінню пожеж, розбирання завалів</w:t>
      </w:r>
      <w:r w:rsidRPr="00D712EF">
        <w:rPr>
          <w:rFonts w:ascii="Century" w:hAnsi="Century"/>
          <w:color w:val="auto"/>
          <w:sz w:val="28"/>
          <w:szCs w:val="28"/>
        </w:rPr>
        <w:t xml:space="preserve">, </w:t>
      </w:r>
      <w:r w:rsidRPr="00D712EF">
        <w:rPr>
          <w:rFonts w:ascii="Century" w:hAnsi="Century"/>
          <w:i/>
          <w:iCs/>
          <w:color w:val="auto"/>
          <w:sz w:val="28"/>
          <w:szCs w:val="28"/>
        </w:rPr>
        <w:t>та ліквідації різного роду НС.</w:t>
      </w:r>
    </w:p>
    <w:p w14:paraId="72AA3448" w14:textId="77777777" w:rsidR="00D712EF" w:rsidRPr="00D712EF" w:rsidRDefault="00D712EF" w:rsidP="00D712EF">
      <w:pPr>
        <w:pStyle w:val="Default"/>
        <w:rPr>
          <w:rFonts w:ascii="Century" w:hAnsi="Century"/>
          <w:color w:val="auto"/>
          <w:sz w:val="28"/>
          <w:szCs w:val="28"/>
        </w:rPr>
      </w:pPr>
      <w:r w:rsidRPr="00D712EF">
        <w:rPr>
          <w:rFonts w:ascii="Century" w:hAnsi="Century"/>
          <w:color w:val="auto"/>
          <w:sz w:val="28"/>
          <w:szCs w:val="28"/>
        </w:rPr>
        <w:t xml:space="preserve">4. </w:t>
      </w:r>
      <w:r w:rsidRPr="00D712EF">
        <w:rPr>
          <w:rFonts w:ascii="Century" w:hAnsi="Century"/>
          <w:b/>
          <w:bCs/>
          <w:color w:val="auto"/>
          <w:sz w:val="28"/>
          <w:szCs w:val="28"/>
        </w:rPr>
        <w:t>Початок</w:t>
      </w:r>
      <w:r w:rsidRPr="00D712EF">
        <w:rPr>
          <w:rFonts w:ascii="Century" w:hAnsi="Century"/>
          <w:color w:val="auto"/>
          <w:sz w:val="28"/>
          <w:szCs w:val="28"/>
        </w:rPr>
        <w:t xml:space="preserve"> - </w:t>
      </w:r>
      <w:r w:rsidRPr="00D712EF">
        <w:rPr>
          <w:rFonts w:ascii="Century" w:hAnsi="Century"/>
          <w:i/>
          <w:iCs/>
          <w:color w:val="auto"/>
          <w:sz w:val="28"/>
          <w:szCs w:val="28"/>
        </w:rPr>
        <w:t>протягом 2023 року</w:t>
      </w:r>
    </w:p>
    <w:p w14:paraId="06A4A585" w14:textId="77777777" w:rsidR="00D712EF" w:rsidRPr="00D712EF" w:rsidRDefault="00D712EF" w:rsidP="00D712EF">
      <w:pPr>
        <w:pStyle w:val="Default"/>
        <w:rPr>
          <w:rFonts w:ascii="Century" w:hAnsi="Century"/>
          <w:color w:val="auto"/>
          <w:sz w:val="28"/>
          <w:szCs w:val="28"/>
        </w:rPr>
      </w:pPr>
      <w:r w:rsidRPr="00D712EF">
        <w:rPr>
          <w:rFonts w:ascii="Century" w:hAnsi="Century"/>
          <w:color w:val="auto"/>
          <w:sz w:val="28"/>
          <w:szCs w:val="28"/>
        </w:rPr>
        <w:t xml:space="preserve">5. </w:t>
      </w:r>
      <w:r w:rsidRPr="00D712EF">
        <w:rPr>
          <w:rFonts w:ascii="Century" w:hAnsi="Century"/>
          <w:b/>
          <w:bCs/>
          <w:color w:val="auto"/>
          <w:sz w:val="28"/>
          <w:szCs w:val="28"/>
        </w:rPr>
        <w:t>Етапи фінансування</w:t>
      </w:r>
      <w:r w:rsidRPr="00D712EF">
        <w:rPr>
          <w:rFonts w:ascii="Century" w:hAnsi="Century"/>
          <w:color w:val="auto"/>
          <w:sz w:val="28"/>
          <w:szCs w:val="28"/>
        </w:rPr>
        <w:t xml:space="preserve"> </w:t>
      </w:r>
      <w:r w:rsidRPr="00D712EF">
        <w:rPr>
          <w:rFonts w:ascii="Century" w:hAnsi="Century"/>
          <w:i/>
          <w:iCs/>
          <w:color w:val="auto"/>
          <w:sz w:val="28"/>
          <w:szCs w:val="28"/>
        </w:rPr>
        <w:t>протягом 2023 року.</w:t>
      </w:r>
    </w:p>
    <w:p w14:paraId="756EA06D" w14:textId="77777777" w:rsidR="00D712EF" w:rsidRPr="00D712EF" w:rsidRDefault="00D712EF" w:rsidP="00D712EF">
      <w:pPr>
        <w:pStyle w:val="Default"/>
        <w:rPr>
          <w:rFonts w:ascii="Century" w:hAnsi="Century"/>
          <w:color w:val="auto"/>
          <w:sz w:val="28"/>
          <w:szCs w:val="28"/>
        </w:rPr>
      </w:pPr>
      <w:r w:rsidRPr="00D712EF">
        <w:rPr>
          <w:rFonts w:ascii="Century" w:hAnsi="Century"/>
          <w:color w:val="auto"/>
          <w:sz w:val="28"/>
          <w:szCs w:val="28"/>
        </w:rPr>
        <w:t xml:space="preserve">6. </w:t>
      </w:r>
      <w:r w:rsidRPr="00D712EF">
        <w:rPr>
          <w:rFonts w:ascii="Century" w:hAnsi="Century"/>
          <w:b/>
          <w:bCs/>
          <w:color w:val="auto"/>
          <w:sz w:val="28"/>
          <w:szCs w:val="28"/>
        </w:rPr>
        <w:t>Загальні обсяги фінансування, у тому числі кошти міського бюджету</w:t>
      </w:r>
      <w:r w:rsidRPr="00D712EF">
        <w:rPr>
          <w:rFonts w:ascii="Century" w:hAnsi="Century"/>
          <w:color w:val="auto"/>
          <w:sz w:val="28"/>
          <w:szCs w:val="28"/>
        </w:rPr>
        <w:t xml:space="preserve"> (тис. грн.) </w:t>
      </w:r>
      <w:r w:rsidRPr="00D712EF">
        <w:rPr>
          <w:rFonts w:ascii="Century" w:hAnsi="Century"/>
          <w:i/>
          <w:iCs/>
          <w:color w:val="auto"/>
          <w:sz w:val="28"/>
          <w:szCs w:val="28"/>
        </w:rPr>
        <w:t xml:space="preserve">200 </w:t>
      </w:r>
      <w:r w:rsidRPr="00D712EF">
        <w:rPr>
          <w:rFonts w:ascii="Century" w:hAnsi="Century"/>
          <w:b/>
          <w:bCs/>
          <w:i/>
          <w:iCs/>
          <w:color w:val="auto"/>
          <w:sz w:val="28"/>
          <w:szCs w:val="28"/>
        </w:rPr>
        <w:t xml:space="preserve">тис, гривень </w:t>
      </w:r>
      <w:r w:rsidRPr="00D712EF">
        <w:rPr>
          <w:rFonts w:ascii="Century" w:hAnsi="Century"/>
          <w:i/>
          <w:iCs/>
          <w:color w:val="auto"/>
          <w:sz w:val="28"/>
          <w:szCs w:val="28"/>
        </w:rPr>
        <w:t>( двісті тисяч гривень).</w:t>
      </w:r>
    </w:p>
    <w:p w14:paraId="300D6FE2" w14:textId="77777777" w:rsidR="00D712EF" w:rsidRPr="00D712EF" w:rsidRDefault="00D712EF" w:rsidP="00D712EF">
      <w:pPr>
        <w:pStyle w:val="Default"/>
        <w:rPr>
          <w:rFonts w:ascii="Century" w:hAnsi="Century"/>
          <w:color w:val="auto"/>
          <w:sz w:val="28"/>
          <w:szCs w:val="28"/>
        </w:rPr>
      </w:pPr>
    </w:p>
    <w:p w14:paraId="0E89F55D" w14:textId="77777777" w:rsidR="00D712EF" w:rsidRPr="00D712EF" w:rsidRDefault="00D712EF" w:rsidP="00D712EF">
      <w:pPr>
        <w:pStyle w:val="Default"/>
        <w:rPr>
          <w:rFonts w:ascii="Century" w:hAnsi="Century"/>
          <w:color w:val="auto"/>
          <w:sz w:val="28"/>
          <w:szCs w:val="28"/>
        </w:rPr>
      </w:pPr>
      <w:r w:rsidRPr="00D712EF">
        <w:rPr>
          <w:rFonts w:ascii="Century" w:hAnsi="Century"/>
          <w:color w:val="auto"/>
          <w:sz w:val="28"/>
          <w:szCs w:val="28"/>
        </w:rPr>
        <w:t xml:space="preserve">7. </w:t>
      </w:r>
      <w:r w:rsidRPr="00D712EF">
        <w:rPr>
          <w:rFonts w:ascii="Century" w:hAnsi="Century"/>
          <w:b/>
          <w:bCs/>
          <w:color w:val="auto"/>
          <w:sz w:val="28"/>
          <w:szCs w:val="28"/>
        </w:rPr>
        <w:t>Очікувані результати виконання програми</w:t>
      </w:r>
      <w:r w:rsidRPr="00D712EF">
        <w:rPr>
          <w:rFonts w:ascii="Century" w:hAnsi="Century"/>
          <w:i/>
          <w:iCs/>
          <w:color w:val="auto"/>
          <w:sz w:val="28"/>
          <w:szCs w:val="28"/>
        </w:rPr>
        <w:t xml:space="preserve"> Матеріально технічне забезпечення. Покращення матеріально технічної бази</w:t>
      </w:r>
    </w:p>
    <w:p w14:paraId="5D96B678" w14:textId="77777777" w:rsidR="00D712EF" w:rsidRDefault="00D712EF" w:rsidP="00D712EF">
      <w:pPr>
        <w:pStyle w:val="Default"/>
        <w:rPr>
          <w:rFonts w:ascii="Century" w:hAnsi="Century"/>
          <w:color w:val="auto"/>
          <w:sz w:val="28"/>
          <w:szCs w:val="28"/>
        </w:rPr>
      </w:pPr>
    </w:p>
    <w:p w14:paraId="79E2F095" w14:textId="77777777" w:rsidR="00D712EF" w:rsidRPr="00D712EF" w:rsidRDefault="00D712EF" w:rsidP="00D712EF">
      <w:pPr>
        <w:pStyle w:val="Default"/>
        <w:rPr>
          <w:rFonts w:ascii="Century" w:hAnsi="Century"/>
          <w:b/>
          <w:bCs/>
          <w:color w:val="auto"/>
          <w:sz w:val="28"/>
          <w:szCs w:val="28"/>
        </w:rPr>
      </w:pPr>
      <w:r w:rsidRPr="00D712EF">
        <w:rPr>
          <w:rFonts w:ascii="Century" w:hAnsi="Century"/>
          <w:b/>
          <w:bCs/>
          <w:color w:val="auto"/>
          <w:sz w:val="28"/>
          <w:szCs w:val="28"/>
        </w:rPr>
        <w:t>Секретар ради</w:t>
      </w:r>
      <w:r w:rsidRPr="00D712EF">
        <w:rPr>
          <w:rFonts w:ascii="Century" w:hAnsi="Century"/>
          <w:b/>
          <w:bCs/>
          <w:color w:val="auto"/>
          <w:sz w:val="28"/>
          <w:szCs w:val="28"/>
        </w:rPr>
        <w:tab/>
      </w:r>
      <w:r w:rsidRPr="00D712EF">
        <w:rPr>
          <w:rFonts w:ascii="Century" w:hAnsi="Century"/>
          <w:b/>
          <w:bCs/>
          <w:color w:val="auto"/>
          <w:sz w:val="28"/>
          <w:szCs w:val="28"/>
        </w:rPr>
        <w:tab/>
      </w:r>
      <w:r w:rsidRPr="00D712EF">
        <w:rPr>
          <w:rFonts w:ascii="Century" w:hAnsi="Century"/>
          <w:b/>
          <w:bCs/>
          <w:color w:val="auto"/>
          <w:sz w:val="28"/>
          <w:szCs w:val="28"/>
        </w:rPr>
        <w:tab/>
      </w:r>
      <w:r w:rsidRPr="00D712EF">
        <w:rPr>
          <w:rFonts w:ascii="Century" w:hAnsi="Century"/>
          <w:b/>
          <w:bCs/>
          <w:color w:val="auto"/>
          <w:sz w:val="28"/>
          <w:szCs w:val="28"/>
        </w:rPr>
        <w:tab/>
      </w:r>
      <w:r w:rsidRPr="00D712EF">
        <w:rPr>
          <w:rFonts w:ascii="Century" w:hAnsi="Century"/>
          <w:b/>
          <w:bCs/>
          <w:color w:val="auto"/>
          <w:sz w:val="28"/>
          <w:szCs w:val="28"/>
        </w:rPr>
        <w:tab/>
      </w:r>
      <w:r w:rsidRPr="00D712EF">
        <w:rPr>
          <w:rFonts w:ascii="Century" w:hAnsi="Century"/>
          <w:b/>
          <w:bCs/>
          <w:color w:val="auto"/>
          <w:sz w:val="28"/>
          <w:szCs w:val="28"/>
        </w:rPr>
        <w:tab/>
      </w:r>
      <w:r w:rsidRPr="00D712EF">
        <w:rPr>
          <w:rFonts w:ascii="Century" w:hAnsi="Century"/>
          <w:b/>
          <w:bCs/>
          <w:color w:val="auto"/>
          <w:sz w:val="28"/>
          <w:szCs w:val="28"/>
        </w:rPr>
        <w:tab/>
      </w:r>
      <w:r w:rsidRPr="00D712EF">
        <w:rPr>
          <w:rFonts w:ascii="Century" w:hAnsi="Century"/>
          <w:b/>
          <w:bCs/>
          <w:color w:val="auto"/>
          <w:sz w:val="28"/>
          <w:szCs w:val="28"/>
        </w:rPr>
        <w:tab/>
        <w:t xml:space="preserve">     Микола ЛУПІЙ</w:t>
      </w:r>
    </w:p>
    <w:p w14:paraId="12347FEA" w14:textId="77777777" w:rsidR="007A059E" w:rsidRPr="00D712EF" w:rsidRDefault="007A3F15" w:rsidP="009B4CC0">
      <w:pPr>
        <w:ind w:right="-1" w:firstLine="567"/>
        <w:jc w:val="center"/>
        <w:rPr>
          <w:rFonts w:ascii="Century" w:hAnsi="Century"/>
          <w:sz w:val="28"/>
          <w:szCs w:val="28"/>
        </w:rPr>
      </w:pPr>
      <w:r w:rsidRPr="00D712EF">
        <w:rPr>
          <w:rFonts w:ascii="Century" w:hAnsi="Century"/>
          <w:sz w:val="28"/>
          <w:szCs w:val="28"/>
        </w:rPr>
        <w:t xml:space="preserve">                                                       </w:t>
      </w:r>
      <w:r w:rsidR="009B4CC0" w:rsidRPr="00D712EF">
        <w:rPr>
          <w:rFonts w:ascii="Century" w:hAnsi="Century"/>
          <w:sz w:val="28"/>
          <w:szCs w:val="28"/>
        </w:rPr>
        <w:t xml:space="preserve"> </w:t>
      </w:r>
    </w:p>
    <w:sectPr w:rsidR="007A059E" w:rsidRPr="00D712EF" w:rsidSect="00D712EF">
      <w:headerReference w:type="even" r:id="rId9"/>
      <w:footerReference w:type="default" r:id="rId10"/>
      <w:pgSz w:w="11909" w:h="16834" w:code="9"/>
      <w:pgMar w:top="1134" w:right="567" w:bottom="1134" w:left="1701" w:header="578" w:footer="578"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B8BA7" w14:textId="77777777" w:rsidR="00DF717C" w:rsidRDefault="00DF717C">
      <w:r>
        <w:separator/>
      </w:r>
    </w:p>
  </w:endnote>
  <w:endnote w:type="continuationSeparator" w:id="0">
    <w:p w14:paraId="71B46F74" w14:textId="77777777" w:rsidR="00DF717C" w:rsidRDefault="00DF7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22809" w14:textId="77777777" w:rsidR="00ED4B8C" w:rsidRPr="00ED4B8C" w:rsidRDefault="00ED4B8C">
    <w:pPr>
      <w:pStyle w:val="a4"/>
      <w:jc w:val="center"/>
      <w:rPr>
        <w:sz w:val="16"/>
        <w:szCs w:val="16"/>
      </w:rPr>
    </w:pPr>
    <w:r w:rsidRPr="00ED4B8C">
      <w:rPr>
        <w:sz w:val="16"/>
        <w:szCs w:val="16"/>
      </w:rPr>
      <w:fldChar w:fldCharType="begin"/>
    </w:r>
    <w:r w:rsidRPr="00ED4B8C">
      <w:rPr>
        <w:sz w:val="16"/>
        <w:szCs w:val="16"/>
      </w:rPr>
      <w:instrText xml:space="preserve"> PAGE   \* MERGEFORMAT </w:instrText>
    </w:r>
    <w:r w:rsidRPr="00ED4B8C">
      <w:rPr>
        <w:sz w:val="16"/>
        <w:szCs w:val="16"/>
      </w:rPr>
      <w:fldChar w:fldCharType="separate"/>
    </w:r>
    <w:r w:rsidR="003C1560">
      <w:rPr>
        <w:sz w:val="16"/>
        <w:szCs w:val="16"/>
      </w:rPr>
      <w:t>2</w:t>
    </w:r>
    <w:r w:rsidRPr="00ED4B8C">
      <w:rPr>
        <w:sz w:val="16"/>
        <w:szCs w:val="16"/>
      </w:rPr>
      <w:fldChar w:fldCharType="end"/>
    </w:r>
  </w:p>
  <w:p w14:paraId="7886AA06" w14:textId="77777777" w:rsidR="00ED4B8C" w:rsidRDefault="00ED4B8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7B21" w14:textId="77777777" w:rsidR="00DF717C" w:rsidRDefault="00DF717C">
      <w:r>
        <w:separator/>
      </w:r>
    </w:p>
  </w:footnote>
  <w:footnote w:type="continuationSeparator" w:id="0">
    <w:p w14:paraId="14509708" w14:textId="77777777" w:rsidR="00DF717C" w:rsidRDefault="00DF7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0CA1" w14:textId="77777777" w:rsidR="003900C0" w:rsidRDefault="003900C0">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3</w:t>
    </w:r>
    <w:r>
      <w:rPr>
        <w:rStyle w:val="a6"/>
      </w:rPr>
      <w:fldChar w:fldCharType="end"/>
    </w:r>
  </w:p>
  <w:p w14:paraId="2ABB3E34" w14:textId="77777777" w:rsidR="003900C0" w:rsidRDefault="003900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06634"/>
    <w:multiLevelType w:val="singleLevel"/>
    <w:tmpl w:val="4202ADB0"/>
    <w:lvl w:ilvl="0">
      <w:start w:val="1"/>
      <w:numFmt w:val="bullet"/>
      <w:lvlText w:val="-"/>
      <w:lvlJc w:val="left"/>
      <w:pPr>
        <w:tabs>
          <w:tab w:val="num" w:pos="720"/>
        </w:tabs>
        <w:ind w:left="720" w:hanging="360"/>
      </w:pPr>
      <w:rPr>
        <w:rFonts w:hint="default"/>
      </w:rPr>
    </w:lvl>
  </w:abstractNum>
  <w:abstractNum w:abstractNumId="1" w15:restartNumberingAfterBreak="0">
    <w:nsid w:val="14F817D2"/>
    <w:multiLevelType w:val="hybridMultilevel"/>
    <w:tmpl w:val="0DF82188"/>
    <w:lvl w:ilvl="0" w:tplc="D9180A0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0710A7"/>
    <w:multiLevelType w:val="hybridMultilevel"/>
    <w:tmpl w:val="FF0628A4"/>
    <w:lvl w:ilvl="0" w:tplc="8BCCA9A0">
      <w:start w:val="1"/>
      <w:numFmt w:val="decimal"/>
      <w:lvlText w:val="%1."/>
      <w:lvlJc w:val="left"/>
      <w:pPr>
        <w:ind w:left="644" w:hanging="360"/>
      </w:pPr>
      <w:rPr>
        <w:rFonts w:hint="default"/>
        <w:b w:val="0"/>
        <w:bCs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469B73DD"/>
    <w:multiLevelType w:val="hybridMultilevel"/>
    <w:tmpl w:val="4CBC18B4"/>
    <w:lvl w:ilvl="0" w:tplc="D9A04E7E">
      <w:start w:val="1"/>
      <w:numFmt w:val="bullet"/>
      <w:lvlText w:val="-"/>
      <w:lvlJc w:val="left"/>
      <w:pPr>
        <w:tabs>
          <w:tab w:val="num" w:pos="1080"/>
        </w:tabs>
        <w:ind w:left="833" w:hanging="113"/>
      </w:pPr>
      <w:rPr>
        <w:rFonts w:ascii="Times New Roman" w:hAnsi="Times New Roman" w:cs="Times New Roman" w:hint="default"/>
      </w:rPr>
    </w:lvl>
    <w:lvl w:ilvl="1" w:tplc="04190003" w:tentative="1">
      <w:start w:val="1"/>
      <w:numFmt w:val="bullet"/>
      <w:lvlText w:val="o"/>
      <w:lvlJc w:val="left"/>
      <w:pPr>
        <w:tabs>
          <w:tab w:val="num" w:pos="1309"/>
        </w:tabs>
        <w:ind w:left="1309" w:hanging="360"/>
      </w:pPr>
      <w:rPr>
        <w:rFonts w:ascii="Courier New" w:hAnsi="Courier New" w:hint="default"/>
      </w:rPr>
    </w:lvl>
    <w:lvl w:ilvl="2" w:tplc="04190005" w:tentative="1">
      <w:start w:val="1"/>
      <w:numFmt w:val="bullet"/>
      <w:lvlText w:val=""/>
      <w:lvlJc w:val="left"/>
      <w:pPr>
        <w:tabs>
          <w:tab w:val="num" w:pos="2029"/>
        </w:tabs>
        <w:ind w:left="2029" w:hanging="360"/>
      </w:pPr>
      <w:rPr>
        <w:rFonts w:ascii="Wingdings" w:hAnsi="Wingdings" w:hint="default"/>
      </w:rPr>
    </w:lvl>
    <w:lvl w:ilvl="3" w:tplc="04190001" w:tentative="1">
      <w:start w:val="1"/>
      <w:numFmt w:val="bullet"/>
      <w:lvlText w:val=""/>
      <w:lvlJc w:val="left"/>
      <w:pPr>
        <w:tabs>
          <w:tab w:val="num" w:pos="2749"/>
        </w:tabs>
        <w:ind w:left="2749" w:hanging="360"/>
      </w:pPr>
      <w:rPr>
        <w:rFonts w:ascii="Symbol" w:hAnsi="Symbol" w:hint="default"/>
      </w:rPr>
    </w:lvl>
    <w:lvl w:ilvl="4" w:tplc="04190003" w:tentative="1">
      <w:start w:val="1"/>
      <w:numFmt w:val="bullet"/>
      <w:lvlText w:val="o"/>
      <w:lvlJc w:val="left"/>
      <w:pPr>
        <w:tabs>
          <w:tab w:val="num" w:pos="3469"/>
        </w:tabs>
        <w:ind w:left="3469" w:hanging="360"/>
      </w:pPr>
      <w:rPr>
        <w:rFonts w:ascii="Courier New" w:hAnsi="Courier New" w:hint="default"/>
      </w:rPr>
    </w:lvl>
    <w:lvl w:ilvl="5" w:tplc="04190005" w:tentative="1">
      <w:start w:val="1"/>
      <w:numFmt w:val="bullet"/>
      <w:lvlText w:val=""/>
      <w:lvlJc w:val="left"/>
      <w:pPr>
        <w:tabs>
          <w:tab w:val="num" w:pos="4189"/>
        </w:tabs>
        <w:ind w:left="4189" w:hanging="360"/>
      </w:pPr>
      <w:rPr>
        <w:rFonts w:ascii="Wingdings" w:hAnsi="Wingdings" w:hint="default"/>
      </w:rPr>
    </w:lvl>
    <w:lvl w:ilvl="6" w:tplc="04190001" w:tentative="1">
      <w:start w:val="1"/>
      <w:numFmt w:val="bullet"/>
      <w:lvlText w:val=""/>
      <w:lvlJc w:val="left"/>
      <w:pPr>
        <w:tabs>
          <w:tab w:val="num" w:pos="4909"/>
        </w:tabs>
        <w:ind w:left="4909" w:hanging="360"/>
      </w:pPr>
      <w:rPr>
        <w:rFonts w:ascii="Symbol" w:hAnsi="Symbol" w:hint="default"/>
      </w:rPr>
    </w:lvl>
    <w:lvl w:ilvl="7" w:tplc="04190003" w:tentative="1">
      <w:start w:val="1"/>
      <w:numFmt w:val="bullet"/>
      <w:lvlText w:val="o"/>
      <w:lvlJc w:val="left"/>
      <w:pPr>
        <w:tabs>
          <w:tab w:val="num" w:pos="5629"/>
        </w:tabs>
        <w:ind w:left="5629" w:hanging="360"/>
      </w:pPr>
      <w:rPr>
        <w:rFonts w:ascii="Courier New" w:hAnsi="Courier New" w:hint="default"/>
      </w:rPr>
    </w:lvl>
    <w:lvl w:ilvl="8" w:tplc="04190005" w:tentative="1">
      <w:start w:val="1"/>
      <w:numFmt w:val="bullet"/>
      <w:lvlText w:val=""/>
      <w:lvlJc w:val="left"/>
      <w:pPr>
        <w:tabs>
          <w:tab w:val="num" w:pos="6349"/>
        </w:tabs>
        <w:ind w:left="6349" w:hanging="360"/>
      </w:pPr>
      <w:rPr>
        <w:rFonts w:ascii="Wingdings" w:hAnsi="Wingdings" w:hint="default"/>
      </w:rPr>
    </w:lvl>
  </w:abstractNum>
  <w:num w:numId="1" w16cid:durableId="84424149">
    <w:abstractNumId w:val="0"/>
  </w:num>
  <w:num w:numId="2" w16cid:durableId="1714114913">
    <w:abstractNumId w:val="3"/>
  </w:num>
  <w:num w:numId="3" w16cid:durableId="962149941">
    <w:abstractNumId w:val="1"/>
  </w:num>
  <w:num w:numId="4" w16cid:durableId="924193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2B7"/>
    <w:rsid w:val="000464A0"/>
    <w:rsid w:val="0006763E"/>
    <w:rsid w:val="00072785"/>
    <w:rsid w:val="00090188"/>
    <w:rsid w:val="000A532E"/>
    <w:rsid w:val="000C4276"/>
    <w:rsid w:val="000D47F4"/>
    <w:rsid w:val="000D7454"/>
    <w:rsid w:val="000F3EE6"/>
    <w:rsid w:val="001021DC"/>
    <w:rsid w:val="0012284B"/>
    <w:rsid w:val="001244D0"/>
    <w:rsid w:val="0012595B"/>
    <w:rsid w:val="001544DA"/>
    <w:rsid w:val="00163759"/>
    <w:rsid w:val="001A65AE"/>
    <w:rsid w:val="001B5658"/>
    <w:rsid w:val="001C7604"/>
    <w:rsid w:val="00203E56"/>
    <w:rsid w:val="00204886"/>
    <w:rsid w:val="00242E4F"/>
    <w:rsid w:val="002602D8"/>
    <w:rsid w:val="002644AC"/>
    <w:rsid w:val="00264AD9"/>
    <w:rsid w:val="00280E57"/>
    <w:rsid w:val="00284B45"/>
    <w:rsid w:val="00286EAD"/>
    <w:rsid w:val="002945B5"/>
    <w:rsid w:val="00296348"/>
    <w:rsid w:val="002D3C79"/>
    <w:rsid w:val="00300453"/>
    <w:rsid w:val="003040F7"/>
    <w:rsid w:val="00327704"/>
    <w:rsid w:val="003325D2"/>
    <w:rsid w:val="00335919"/>
    <w:rsid w:val="0036335C"/>
    <w:rsid w:val="003772B7"/>
    <w:rsid w:val="003808CE"/>
    <w:rsid w:val="003900C0"/>
    <w:rsid w:val="003C1560"/>
    <w:rsid w:val="003C7F9D"/>
    <w:rsid w:val="003D370F"/>
    <w:rsid w:val="003E68B1"/>
    <w:rsid w:val="0042030C"/>
    <w:rsid w:val="00444250"/>
    <w:rsid w:val="0044523A"/>
    <w:rsid w:val="00454895"/>
    <w:rsid w:val="004577ED"/>
    <w:rsid w:val="00482C2A"/>
    <w:rsid w:val="00482C89"/>
    <w:rsid w:val="004859AE"/>
    <w:rsid w:val="00487F8F"/>
    <w:rsid w:val="004A015B"/>
    <w:rsid w:val="004A5DB4"/>
    <w:rsid w:val="004B5B79"/>
    <w:rsid w:val="004C448C"/>
    <w:rsid w:val="004C4BA8"/>
    <w:rsid w:val="004D20D1"/>
    <w:rsid w:val="004E501C"/>
    <w:rsid w:val="004F0468"/>
    <w:rsid w:val="004F5E0F"/>
    <w:rsid w:val="005014EC"/>
    <w:rsid w:val="00511EC3"/>
    <w:rsid w:val="00563059"/>
    <w:rsid w:val="00565CB9"/>
    <w:rsid w:val="0058027D"/>
    <w:rsid w:val="005B16B0"/>
    <w:rsid w:val="005B7381"/>
    <w:rsid w:val="005C3A15"/>
    <w:rsid w:val="005D1F15"/>
    <w:rsid w:val="005D4824"/>
    <w:rsid w:val="005E04AE"/>
    <w:rsid w:val="00627CF3"/>
    <w:rsid w:val="00651C8B"/>
    <w:rsid w:val="00654CD3"/>
    <w:rsid w:val="006A670D"/>
    <w:rsid w:val="006B3E47"/>
    <w:rsid w:val="006B40BA"/>
    <w:rsid w:val="006E4EE8"/>
    <w:rsid w:val="006F6133"/>
    <w:rsid w:val="006F7BCF"/>
    <w:rsid w:val="0070207C"/>
    <w:rsid w:val="00702C3D"/>
    <w:rsid w:val="00704308"/>
    <w:rsid w:val="007305E9"/>
    <w:rsid w:val="00730EBF"/>
    <w:rsid w:val="0076576E"/>
    <w:rsid w:val="00771DC3"/>
    <w:rsid w:val="007901A8"/>
    <w:rsid w:val="007A059E"/>
    <w:rsid w:val="007A3534"/>
    <w:rsid w:val="007A3F15"/>
    <w:rsid w:val="007D6C3D"/>
    <w:rsid w:val="00801AB8"/>
    <w:rsid w:val="0081766F"/>
    <w:rsid w:val="0083612A"/>
    <w:rsid w:val="00851329"/>
    <w:rsid w:val="00873620"/>
    <w:rsid w:val="00877AC5"/>
    <w:rsid w:val="0088423C"/>
    <w:rsid w:val="00893D1D"/>
    <w:rsid w:val="008C1F05"/>
    <w:rsid w:val="008D2DCE"/>
    <w:rsid w:val="008E4D47"/>
    <w:rsid w:val="00902B7B"/>
    <w:rsid w:val="009073A2"/>
    <w:rsid w:val="0094493F"/>
    <w:rsid w:val="00944B76"/>
    <w:rsid w:val="0096484B"/>
    <w:rsid w:val="009B4CC0"/>
    <w:rsid w:val="009C2509"/>
    <w:rsid w:val="009E4FC5"/>
    <w:rsid w:val="009F0807"/>
    <w:rsid w:val="009F1501"/>
    <w:rsid w:val="00A07EDD"/>
    <w:rsid w:val="00A412AB"/>
    <w:rsid w:val="00A769FA"/>
    <w:rsid w:val="00A865C3"/>
    <w:rsid w:val="00AA4A25"/>
    <w:rsid w:val="00AA703D"/>
    <w:rsid w:val="00AB3767"/>
    <w:rsid w:val="00AB6FBB"/>
    <w:rsid w:val="00AC1875"/>
    <w:rsid w:val="00AD503C"/>
    <w:rsid w:val="00B06991"/>
    <w:rsid w:val="00B53494"/>
    <w:rsid w:val="00B65C3A"/>
    <w:rsid w:val="00B73969"/>
    <w:rsid w:val="00B80ECF"/>
    <w:rsid w:val="00B92256"/>
    <w:rsid w:val="00B9484F"/>
    <w:rsid w:val="00BE19AE"/>
    <w:rsid w:val="00BF66BB"/>
    <w:rsid w:val="00C01987"/>
    <w:rsid w:val="00C15AB4"/>
    <w:rsid w:val="00C17342"/>
    <w:rsid w:val="00C3074D"/>
    <w:rsid w:val="00C41C4E"/>
    <w:rsid w:val="00C61160"/>
    <w:rsid w:val="00C73E19"/>
    <w:rsid w:val="00C7583C"/>
    <w:rsid w:val="00C8552C"/>
    <w:rsid w:val="00C9167D"/>
    <w:rsid w:val="00CB6AE2"/>
    <w:rsid w:val="00CC0082"/>
    <w:rsid w:val="00CE3799"/>
    <w:rsid w:val="00CE39AA"/>
    <w:rsid w:val="00CF60F9"/>
    <w:rsid w:val="00D01F1E"/>
    <w:rsid w:val="00D14FBA"/>
    <w:rsid w:val="00D20CE5"/>
    <w:rsid w:val="00D27B92"/>
    <w:rsid w:val="00D42D14"/>
    <w:rsid w:val="00D51AC0"/>
    <w:rsid w:val="00D659CB"/>
    <w:rsid w:val="00D712EF"/>
    <w:rsid w:val="00D812BC"/>
    <w:rsid w:val="00D925EA"/>
    <w:rsid w:val="00D965B6"/>
    <w:rsid w:val="00D970DA"/>
    <w:rsid w:val="00DA4951"/>
    <w:rsid w:val="00DD03FA"/>
    <w:rsid w:val="00DF717C"/>
    <w:rsid w:val="00E0498B"/>
    <w:rsid w:val="00E052A9"/>
    <w:rsid w:val="00E6120F"/>
    <w:rsid w:val="00E666E7"/>
    <w:rsid w:val="00E76CA4"/>
    <w:rsid w:val="00E95062"/>
    <w:rsid w:val="00EB0499"/>
    <w:rsid w:val="00ED3823"/>
    <w:rsid w:val="00ED4B8C"/>
    <w:rsid w:val="00F019D9"/>
    <w:rsid w:val="00F077EB"/>
    <w:rsid w:val="00F124E0"/>
    <w:rsid w:val="00F12BBA"/>
    <w:rsid w:val="00F1709D"/>
    <w:rsid w:val="00F17263"/>
    <w:rsid w:val="00F36AF4"/>
    <w:rsid w:val="00F40233"/>
    <w:rsid w:val="00F458F3"/>
    <w:rsid w:val="00F6219C"/>
    <w:rsid w:val="00F64C40"/>
    <w:rsid w:val="00F94020"/>
    <w:rsid w:val="00F94164"/>
    <w:rsid w:val="00FB370E"/>
    <w:rsid w:val="00FD6116"/>
    <w:rsid w:val="00FF7133"/>
    <w:rsid w:val="00FF7F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85835"/>
  <w15:chartTrackingRefBased/>
  <w15:docId w15:val="{1778F061-3CED-467C-B2E6-A4A5C7B54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72B7"/>
    <w:pPr>
      <w:jc w:val="both"/>
    </w:pPr>
    <w:rPr>
      <w:sz w:val="26"/>
      <w:szCs w:val="26"/>
      <w:lang w:eastAsia="ru-RU"/>
    </w:rPr>
  </w:style>
  <w:style w:type="paragraph" w:styleId="1">
    <w:name w:val="heading 1"/>
    <w:basedOn w:val="a"/>
    <w:next w:val="a"/>
    <w:link w:val="10"/>
    <w:uiPriority w:val="9"/>
    <w:qFormat/>
    <w:rsid w:val="009C2509"/>
    <w:pPr>
      <w:keepNext/>
      <w:keepLines/>
      <w:suppressAutoHyphens/>
      <w:spacing w:before="480" w:line="276" w:lineRule="auto"/>
      <w:jc w:val="left"/>
      <w:outlineLvl w:val="0"/>
    </w:pPr>
    <w:rPr>
      <w:rFonts w:ascii="Cambria" w:hAnsi="Cambria"/>
      <w:b/>
      <w:bCs/>
      <w:color w:val="365F91"/>
      <w:sz w:val="28"/>
      <w:szCs w:val="28"/>
      <w:lang w:eastAsia="en-US"/>
    </w:rPr>
  </w:style>
  <w:style w:type="paragraph" w:styleId="6">
    <w:name w:val="heading 6"/>
    <w:basedOn w:val="a"/>
    <w:next w:val="a"/>
    <w:link w:val="60"/>
    <w:semiHidden/>
    <w:unhideWhenUsed/>
    <w:qFormat/>
    <w:rsid w:val="009C2509"/>
    <w:pPr>
      <w:keepNext/>
      <w:keepLines/>
      <w:tabs>
        <w:tab w:val="num" w:pos="0"/>
      </w:tabs>
      <w:suppressAutoHyphens/>
      <w:spacing w:before="200"/>
      <w:ind w:left="1152" w:hanging="1152"/>
      <w:outlineLvl w:val="5"/>
    </w:pPr>
    <w:rPr>
      <w:rFonts w:ascii="Cambria" w:eastAsia="Calibri" w:hAnsi="Cambria" w:cs="Cambria"/>
      <w:i/>
      <w:iCs/>
      <w:color w:val="243F60"/>
      <w:sz w:val="28"/>
      <w:szCs w:val="28"/>
      <w:lang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772B7"/>
    <w:pPr>
      <w:tabs>
        <w:tab w:val="center" w:pos="4320"/>
        <w:tab w:val="right" w:pos="8640"/>
      </w:tabs>
    </w:pPr>
    <w:rPr>
      <w:noProof/>
    </w:rPr>
  </w:style>
  <w:style w:type="paragraph" w:styleId="a4">
    <w:name w:val="footer"/>
    <w:basedOn w:val="a"/>
    <w:link w:val="a5"/>
    <w:uiPriority w:val="99"/>
    <w:rsid w:val="003772B7"/>
    <w:pPr>
      <w:tabs>
        <w:tab w:val="left" w:pos="86"/>
        <w:tab w:val="center" w:pos="4680"/>
        <w:tab w:val="decimal" w:pos="7200"/>
        <w:tab w:val="right" w:pos="9360"/>
      </w:tabs>
    </w:pPr>
    <w:rPr>
      <w:rFonts w:ascii="Arial" w:hAnsi="Arial"/>
      <w:noProof/>
      <w:sz w:val="10"/>
      <w:szCs w:val="10"/>
      <w:lang w:val="x-none"/>
    </w:rPr>
  </w:style>
  <w:style w:type="character" w:styleId="a6">
    <w:name w:val="page number"/>
    <w:rsid w:val="003772B7"/>
    <w:rPr>
      <w:rFonts w:ascii="Times New Roman" w:hAnsi="Times New Roman"/>
      <w:b/>
      <w:bCs/>
      <w:sz w:val="26"/>
      <w:szCs w:val="26"/>
    </w:rPr>
  </w:style>
  <w:style w:type="paragraph" w:styleId="a7">
    <w:name w:val="Title"/>
    <w:basedOn w:val="a"/>
    <w:link w:val="a8"/>
    <w:qFormat/>
    <w:rsid w:val="003772B7"/>
    <w:pPr>
      <w:spacing w:before="240" w:after="60"/>
      <w:jc w:val="center"/>
    </w:pPr>
    <w:rPr>
      <w:rFonts w:ascii="Arial" w:hAnsi="Arial"/>
      <w:b/>
      <w:bCs/>
      <w:kern w:val="28"/>
      <w:sz w:val="32"/>
      <w:szCs w:val="32"/>
      <w:lang w:val="x-none"/>
    </w:rPr>
  </w:style>
  <w:style w:type="paragraph" w:styleId="a9">
    <w:name w:val="Body Text Indent"/>
    <w:basedOn w:val="a"/>
    <w:rsid w:val="003772B7"/>
    <w:pPr>
      <w:spacing w:before="60"/>
      <w:ind w:firstLine="720"/>
    </w:pPr>
  </w:style>
  <w:style w:type="paragraph" w:styleId="aa">
    <w:name w:val="Body Text"/>
    <w:basedOn w:val="a"/>
    <w:rsid w:val="003772B7"/>
    <w:pPr>
      <w:spacing w:before="60"/>
    </w:pPr>
  </w:style>
  <w:style w:type="paragraph" w:styleId="2">
    <w:name w:val="Body Text Indent 2"/>
    <w:basedOn w:val="a"/>
    <w:rsid w:val="003772B7"/>
    <w:pPr>
      <w:ind w:firstLine="567"/>
    </w:pPr>
    <w:rPr>
      <w:snapToGrid w:val="0"/>
    </w:rPr>
  </w:style>
  <w:style w:type="paragraph" w:styleId="3">
    <w:name w:val="Body Text Indent 3"/>
    <w:basedOn w:val="a"/>
    <w:rsid w:val="003772B7"/>
    <w:pPr>
      <w:ind w:firstLine="567"/>
    </w:pPr>
    <w:rPr>
      <w:b/>
      <w:bCs/>
      <w:snapToGrid w:val="0"/>
    </w:rPr>
  </w:style>
  <w:style w:type="paragraph" w:styleId="ab">
    <w:name w:val="Balloon Text"/>
    <w:basedOn w:val="a"/>
    <w:link w:val="ac"/>
    <w:rsid w:val="003C7F9D"/>
    <w:rPr>
      <w:rFonts w:ascii="Tahoma" w:hAnsi="Tahoma"/>
      <w:sz w:val="16"/>
      <w:szCs w:val="16"/>
      <w:lang w:val="x-none"/>
    </w:rPr>
  </w:style>
  <w:style w:type="character" w:customStyle="1" w:styleId="ac">
    <w:name w:val="Текст у виносці Знак"/>
    <w:link w:val="ab"/>
    <w:rsid w:val="003C7F9D"/>
    <w:rPr>
      <w:rFonts w:ascii="Tahoma" w:hAnsi="Tahoma" w:cs="Tahoma"/>
      <w:sz w:val="16"/>
      <w:szCs w:val="16"/>
      <w:lang w:eastAsia="ru-RU"/>
    </w:rPr>
  </w:style>
  <w:style w:type="character" w:customStyle="1" w:styleId="a5">
    <w:name w:val="Нижній колонтитул Знак"/>
    <w:link w:val="a4"/>
    <w:uiPriority w:val="99"/>
    <w:rsid w:val="00ED4B8C"/>
    <w:rPr>
      <w:rFonts w:ascii="Arial" w:hAnsi="Arial" w:cs="Arial"/>
      <w:noProof/>
      <w:sz w:val="10"/>
      <w:szCs w:val="10"/>
      <w:lang w:eastAsia="ru-RU"/>
    </w:rPr>
  </w:style>
  <w:style w:type="character" w:customStyle="1" w:styleId="a8">
    <w:name w:val="Назва Знак"/>
    <w:link w:val="a7"/>
    <w:rsid w:val="0012595B"/>
    <w:rPr>
      <w:rFonts w:ascii="Arial" w:hAnsi="Arial" w:cs="Arial"/>
      <w:b/>
      <w:bCs/>
      <w:kern w:val="28"/>
      <w:sz w:val="32"/>
      <w:szCs w:val="32"/>
      <w:lang w:eastAsia="ru-RU"/>
    </w:rPr>
  </w:style>
  <w:style w:type="character" w:customStyle="1" w:styleId="10">
    <w:name w:val="Заголовок 1 Знак"/>
    <w:link w:val="1"/>
    <w:uiPriority w:val="9"/>
    <w:rsid w:val="009C2509"/>
    <w:rPr>
      <w:rFonts w:ascii="Cambria" w:eastAsia="Times New Roman" w:hAnsi="Cambria" w:cs="Times New Roman"/>
      <w:b/>
      <w:bCs/>
      <w:color w:val="365F91"/>
      <w:sz w:val="28"/>
      <w:szCs w:val="28"/>
      <w:lang w:eastAsia="en-US"/>
    </w:rPr>
  </w:style>
  <w:style w:type="character" w:customStyle="1" w:styleId="60">
    <w:name w:val="Заголовок 6 Знак"/>
    <w:link w:val="6"/>
    <w:semiHidden/>
    <w:rsid w:val="009C2509"/>
    <w:rPr>
      <w:rFonts w:ascii="Cambria" w:eastAsia="Calibri" w:hAnsi="Cambria" w:cs="Cambria"/>
      <w:i/>
      <w:iCs/>
      <w:color w:val="243F60"/>
      <w:sz w:val="28"/>
      <w:szCs w:val="28"/>
      <w:lang w:eastAsia="zh-CN"/>
    </w:rPr>
  </w:style>
  <w:style w:type="paragraph" w:styleId="ad">
    <w:name w:val="No Spacing"/>
    <w:uiPriority w:val="1"/>
    <w:qFormat/>
    <w:rsid w:val="009C2509"/>
    <w:pPr>
      <w:suppressAutoHyphens/>
    </w:pPr>
    <w:rPr>
      <w:rFonts w:ascii="Calibri" w:eastAsia="Calibri" w:hAnsi="Calibri"/>
      <w:color w:val="00000A"/>
      <w:sz w:val="22"/>
      <w:szCs w:val="22"/>
      <w:lang w:eastAsia="en-US"/>
    </w:rPr>
  </w:style>
  <w:style w:type="paragraph" w:styleId="ae">
    <w:name w:val="Quote"/>
    <w:basedOn w:val="a"/>
    <w:link w:val="af"/>
    <w:qFormat/>
    <w:rsid w:val="009C2509"/>
    <w:pPr>
      <w:widowControl w:val="0"/>
      <w:suppressAutoHyphens/>
      <w:autoSpaceDE w:val="0"/>
      <w:ind w:left="720" w:right="340" w:firstLine="556"/>
    </w:pPr>
    <w:rPr>
      <w:sz w:val="28"/>
      <w:szCs w:val="20"/>
      <w:lang w:eastAsia="zh-CN"/>
    </w:rPr>
  </w:style>
  <w:style w:type="character" w:customStyle="1" w:styleId="af">
    <w:name w:val="Цитата Знак"/>
    <w:link w:val="ae"/>
    <w:rsid w:val="009C2509"/>
    <w:rPr>
      <w:sz w:val="28"/>
      <w:lang w:eastAsia="zh-CN"/>
    </w:rPr>
  </w:style>
  <w:style w:type="paragraph" w:customStyle="1" w:styleId="tc2">
    <w:name w:val="tc2"/>
    <w:basedOn w:val="a"/>
    <w:rsid w:val="009C2509"/>
    <w:pPr>
      <w:suppressAutoHyphens/>
      <w:spacing w:line="300" w:lineRule="atLeast"/>
      <w:jc w:val="center"/>
    </w:pPr>
    <w:rPr>
      <w:sz w:val="24"/>
      <w:szCs w:val="24"/>
      <w:lang w:val="ru-RU" w:eastAsia="zh-CN"/>
    </w:rPr>
  </w:style>
  <w:style w:type="paragraph" w:styleId="30">
    <w:name w:val="Body Text 3"/>
    <w:basedOn w:val="a"/>
    <w:link w:val="31"/>
    <w:uiPriority w:val="99"/>
    <w:unhideWhenUsed/>
    <w:rsid w:val="00AB3767"/>
    <w:pPr>
      <w:spacing w:after="120"/>
      <w:ind w:firstLine="567"/>
    </w:pPr>
    <w:rPr>
      <w:rFonts w:ascii="Calibri" w:eastAsia="Calibri" w:hAnsi="Calibri"/>
      <w:sz w:val="16"/>
      <w:szCs w:val="16"/>
      <w:lang w:eastAsia="en-US"/>
    </w:rPr>
  </w:style>
  <w:style w:type="character" w:customStyle="1" w:styleId="31">
    <w:name w:val="Основний текст 3 Знак"/>
    <w:link w:val="30"/>
    <w:uiPriority w:val="99"/>
    <w:rsid w:val="00AB3767"/>
    <w:rPr>
      <w:rFonts w:ascii="Calibri" w:eastAsia="Calibri" w:hAnsi="Calibri"/>
      <w:sz w:val="16"/>
      <w:szCs w:val="16"/>
      <w:lang w:eastAsia="en-US"/>
    </w:rPr>
  </w:style>
  <w:style w:type="paragraph" w:customStyle="1" w:styleId="Default">
    <w:name w:val="Default"/>
    <w:rsid w:val="00D712EF"/>
    <w:pPr>
      <w:autoSpaceDE w:val="0"/>
      <w:autoSpaceDN w:val="0"/>
      <w:adjustRightInd w:val="0"/>
    </w:pPr>
    <w:rPr>
      <w:color w:val="000000"/>
      <w:sz w:val="24"/>
      <w:szCs w:val="24"/>
    </w:rPr>
  </w:style>
  <w:style w:type="character" w:styleId="af0">
    <w:name w:val="Emphasis"/>
    <w:qFormat/>
    <w:rsid w:val="00D712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6BB97-93E6-4F4F-8A9E-7A0CCF668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7191</Words>
  <Characters>4100</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«Погоджую»                                                                            « Затверджую»</vt:lpstr>
      <vt:lpstr>«Погоджую»                                                                            « Затверджую»</vt:lpstr>
    </vt:vector>
  </TitlesOfParts>
  <Company>MoBIL GROUP</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«Погоджую»                                                                            « Затверджую»</dc:title>
  <dc:subject/>
  <dc:creator>User</dc:creator>
  <cp:keywords/>
  <cp:lastModifiedBy>Secretary</cp:lastModifiedBy>
  <cp:revision>2</cp:revision>
  <cp:lastPrinted>2009-01-01T04:55:00Z</cp:lastPrinted>
  <dcterms:created xsi:type="dcterms:W3CDTF">2023-02-14T08:01:00Z</dcterms:created>
  <dcterms:modified xsi:type="dcterms:W3CDTF">2023-02-14T08:01:00Z</dcterms:modified>
</cp:coreProperties>
</file>